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01" w:rsidRDefault="005037E0" w:rsidP="00722401">
      <w:pPr>
        <w:jc w:val="center"/>
        <w:rPr>
          <w:sz w:val="48"/>
          <w:szCs w:val="48"/>
          <w:lang w:val="fr-FR"/>
        </w:rPr>
      </w:pPr>
      <w:r>
        <w:rPr>
          <w:b/>
          <w:noProof/>
          <w:sz w:val="40"/>
          <w:szCs w:val="40"/>
          <w:lang w:val="fr-FR" w:eastAsia="fr-FR" w:bidi="ar-SA"/>
        </w:rPr>
        <w:drawing>
          <wp:inline distT="0" distB="0" distL="0" distR="0">
            <wp:extent cx="2517775" cy="1030605"/>
            <wp:effectExtent l="0" t="0" r="0" b="0"/>
            <wp:docPr id="1" name="Image 1" descr="logo-EMP-Armines-20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MP-Armines-20080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7775" cy="1030605"/>
                    </a:xfrm>
                    <a:prstGeom prst="rect">
                      <a:avLst/>
                    </a:prstGeom>
                    <a:noFill/>
                    <a:ln>
                      <a:noFill/>
                    </a:ln>
                  </pic:spPr>
                </pic:pic>
              </a:graphicData>
            </a:graphic>
          </wp:inline>
        </w:drawing>
      </w:r>
    </w:p>
    <w:p w:rsidR="005037E0" w:rsidRPr="005037E0" w:rsidRDefault="005037E0" w:rsidP="00722401">
      <w:pPr>
        <w:jc w:val="center"/>
        <w:rPr>
          <w:rFonts w:ascii="Arial" w:hAnsi="Arial" w:cs="Arial"/>
          <w:b/>
          <w:smallCaps/>
          <w:color w:val="1F497D" w:themeColor="text2"/>
          <w:sz w:val="24"/>
          <w:szCs w:val="24"/>
          <w:lang w:val="fr-FR"/>
        </w:rPr>
      </w:pPr>
      <w:r w:rsidRPr="005037E0">
        <w:rPr>
          <w:rFonts w:ascii="Arial" w:hAnsi="Arial" w:cs="Arial"/>
          <w:b/>
          <w:smallCaps/>
          <w:color w:val="1F497D" w:themeColor="text2"/>
          <w:sz w:val="24"/>
          <w:szCs w:val="24"/>
          <w:lang w:val="fr-FR"/>
        </w:rPr>
        <w:t>Centre Energetique et Procedes</w:t>
      </w:r>
    </w:p>
    <w:p w:rsidR="00722401" w:rsidRPr="00C8316D" w:rsidRDefault="00722401" w:rsidP="00722401">
      <w:pPr>
        <w:jc w:val="center"/>
        <w:rPr>
          <w:sz w:val="48"/>
          <w:szCs w:val="48"/>
          <w:lang w:val="fr-FR"/>
        </w:rPr>
      </w:pPr>
    </w:p>
    <w:p w:rsidR="00722401" w:rsidRPr="00C8316D" w:rsidRDefault="00722401" w:rsidP="00722401">
      <w:pPr>
        <w:jc w:val="center"/>
        <w:rPr>
          <w:sz w:val="48"/>
          <w:szCs w:val="48"/>
          <w:lang w:val="fr-FR"/>
        </w:rPr>
      </w:pPr>
    </w:p>
    <w:p w:rsidR="00722401" w:rsidRPr="00C8316D" w:rsidRDefault="00722401" w:rsidP="00722401">
      <w:pPr>
        <w:jc w:val="center"/>
        <w:rPr>
          <w:sz w:val="48"/>
          <w:szCs w:val="48"/>
          <w:lang w:val="fr-FR"/>
        </w:rPr>
      </w:pPr>
    </w:p>
    <w:p w:rsidR="00722401" w:rsidRPr="00C8316D" w:rsidRDefault="00722401" w:rsidP="00722401">
      <w:pPr>
        <w:jc w:val="center"/>
        <w:rPr>
          <w:sz w:val="48"/>
          <w:szCs w:val="48"/>
          <w:lang w:val="fr-FR"/>
        </w:rPr>
      </w:pPr>
    </w:p>
    <w:p w:rsidR="009F747E" w:rsidRPr="00C8316D" w:rsidRDefault="00722401" w:rsidP="00722401">
      <w:pPr>
        <w:jc w:val="center"/>
        <w:rPr>
          <w:sz w:val="48"/>
          <w:szCs w:val="48"/>
          <w:lang w:val="fr-FR"/>
        </w:rPr>
      </w:pPr>
      <w:r w:rsidRPr="00C8316D">
        <w:rPr>
          <w:sz w:val="48"/>
          <w:szCs w:val="48"/>
          <w:lang w:val="fr-FR"/>
        </w:rPr>
        <w:t>Rapport final – Invent</w:t>
      </w:r>
      <w:r w:rsidR="004C237B">
        <w:rPr>
          <w:sz w:val="48"/>
          <w:szCs w:val="48"/>
          <w:lang w:val="fr-FR"/>
        </w:rPr>
        <w:t>aires DOM COM pour l’année 2010</w:t>
      </w:r>
    </w:p>
    <w:p w:rsidR="00722401" w:rsidRPr="00C8316D" w:rsidRDefault="00722401" w:rsidP="00722401">
      <w:pPr>
        <w:jc w:val="center"/>
        <w:rPr>
          <w:sz w:val="28"/>
          <w:szCs w:val="28"/>
          <w:lang w:val="fr-FR"/>
        </w:rPr>
      </w:pPr>
      <w:r w:rsidRPr="00C8316D">
        <w:rPr>
          <w:sz w:val="28"/>
          <w:szCs w:val="28"/>
          <w:lang w:val="fr-FR"/>
        </w:rPr>
        <w:t xml:space="preserve">Stéphanie Barrault, </w:t>
      </w:r>
      <w:r w:rsidR="00930BFB" w:rsidRPr="00C8316D">
        <w:rPr>
          <w:sz w:val="28"/>
          <w:szCs w:val="28"/>
          <w:lang w:val="fr-FR"/>
        </w:rPr>
        <w:t>Denis Clodic</w:t>
      </w:r>
      <w:r w:rsidR="00930BFB">
        <w:rPr>
          <w:sz w:val="28"/>
          <w:szCs w:val="28"/>
          <w:lang w:val="fr-FR"/>
        </w:rPr>
        <w:t>,</w:t>
      </w:r>
      <w:r w:rsidR="00930BFB" w:rsidRPr="00C8316D">
        <w:rPr>
          <w:sz w:val="28"/>
          <w:szCs w:val="28"/>
          <w:lang w:val="fr-FR"/>
        </w:rPr>
        <w:t xml:space="preserve"> </w:t>
      </w:r>
      <w:r w:rsidRPr="00C8316D">
        <w:rPr>
          <w:sz w:val="28"/>
          <w:szCs w:val="28"/>
          <w:lang w:val="fr-FR"/>
        </w:rPr>
        <w:t xml:space="preserve">CEP MINES-ParisTech </w:t>
      </w:r>
    </w:p>
    <w:p w:rsidR="00722401" w:rsidRPr="00C8316D" w:rsidRDefault="00722401" w:rsidP="00722401">
      <w:pPr>
        <w:jc w:val="center"/>
        <w:rPr>
          <w:sz w:val="28"/>
          <w:szCs w:val="28"/>
          <w:lang w:val="fr-FR"/>
        </w:rPr>
      </w:pPr>
    </w:p>
    <w:p w:rsidR="00722401" w:rsidRPr="00C8316D" w:rsidRDefault="00722401" w:rsidP="00722401">
      <w:pPr>
        <w:jc w:val="center"/>
        <w:rPr>
          <w:sz w:val="48"/>
          <w:szCs w:val="48"/>
          <w:lang w:val="fr-FR"/>
        </w:rPr>
      </w:pPr>
    </w:p>
    <w:p w:rsidR="00722401" w:rsidRPr="00C8316D" w:rsidRDefault="00722401" w:rsidP="00722401">
      <w:pPr>
        <w:jc w:val="center"/>
        <w:rPr>
          <w:sz w:val="48"/>
          <w:szCs w:val="48"/>
          <w:lang w:val="fr-FR"/>
        </w:rPr>
      </w:pPr>
    </w:p>
    <w:p w:rsidR="00722401" w:rsidRPr="00C8316D" w:rsidRDefault="00722401" w:rsidP="00722401">
      <w:pPr>
        <w:jc w:val="center"/>
        <w:rPr>
          <w:sz w:val="48"/>
          <w:szCs w:val="48"/>
          <w:lang w:val="fr-FR"/>
        </w:rPr>
      </w:pPr>
    </w:p>
    <w:p w:rsidR="00722401" w:rsidRPr="00C8316D" w:rsidRDefault="00722401" w:rsidP="00722401">
      <w:pPr>
        <w:jc w:val="center"/>
        <w:rPr>
          <w:sz w:val="48"/>
          <w:szCs w:val="48"/>
          <w:lang w:val="fr-FR"/>
        </w:rPr>
      </w:pPr>
    </w:p>
    <w:p w:rsidR="00722401" w:rsidRPr="00C8316D" w:rsidRDefault="00722401" w:rsidP="00722401">
      <w:pPr>
        <w:jc w:val="right"/>
        <w:rPr>
          <w:sz w:val="32"/>
          <w:szCs w:val="32"/>
          <w:lang w:val="fr-FR"/>
        </w:rPr>
      </w:pPr>
      <w:r w:rsidRPr="00C8316D">
        <w:rPr>
          <w:sz w:val="32"/>
          <w:szCs w:val="32"/>
          <w:lang w:val="fr-FR"/>
        </w:rPr>
        <w:t>Novembre 2011</w:t>
      </w:r>
    </w:p>
    <w:p w:rsidR="00722401" w:rsidRDefault="00722401">
      <w:pPr>
        <w:rPr>
          <w:sz w:val="32"/>
          <w:szCs w:val="32"/>
          <w:lang w:val="fr-FR"/>
        </w:rPr>
      </w:pPr>
      <w:r w:rsidRPr="00C8316D">
        <w:rPr>
          <w:sz w:val="32"/>
          <w:szCs w:val="32"/>
          <w:lang w:val="fr-FR"/>
        </w:rPr>
        <w:br w:type="page"/>
      </w:r>
    </w:p>
    <w:p w:rsidR="008C0907" w:rsidRDefault="008C0907">
      <w:pPr>
        <w:rPr>
          <w:sz w:val="32"/>
          <w:szCs w:val="32"/>
          <w:lang w:val="fr-FR"/>
        </w:rPr>
      </w:pPr>
    </w:p>
    <w:p w:rsidR="008C0907" w:rsidRDefault="008C0907">
      <w:pPr>
        <w:rPr>
          <w:sz w:val="32"/>
          <w:szCs w:val="32"/>
          <w:lang w:val="fr-FR"/>
        </w:rPr>
        <w:sectPr w:rsidR="008C0907" w:rsidSect="00E333CA">
          <w:footerReference w:type="default" r:id="rId9"/>
          <w:pgSz w:w="11906" w:h="16838"/>
          <w:pgMar w:top="1417" w:right="1417" w:bottom="1417" w:left="1417" w:header="708" w:footer="708" w:gutter="0"/>
          <w:cols w:space="708"/>
          <w:docGrid w:linePitch="360"/>
        </w:sectPr>
      </w:pPr>
    </w:p>
    <w:p w:rsidR="008C0907" w:rsidRDefault="008C0907">
      <w:pPr>
        <w:rPr>
          <w:sz w:val="32"/>
          <w:szCs w:val="32"/>
          <w:lang w:val="fr-FR"/>
        </w:rPr>
      </w:pPr>
    </w:p>
    <w:p w:rsidR="008C0907" w:rsidRPr="008C0907" w:rsidRDefault="008C0907" w:rsidP="008C0907">
      <w:pPr>
        <w:jc w:val="center"/>
        <w:rPr>
          <w:b/>
          <w:sz w:val="32"/>
          <w:szCs w:val="32"/>
          <w:lang w:val="fr-FR"/>
        </w:rPr>
      </w:pPr>
      <w:r w:rsidRPr="008C0907">
        <w:rPr>
          <w:b/>
          <w:sz w:val="32"/>
          <w:szCs w:val="32"/>
          <w:lang w:val="fr-FR"/>
        </w:rPr>
        <w:t>SOMMAIRE</w:t>
      </w:r>
    </w:p>
    <w:p w:rsidR="008C0907" w:rsidRDefault="008C0907" w:rsidP="008C0907">
      <w:pPr>
        <w:spacing w:before="0" w:after="0" w:line="240" w:lineRule="auto"/>
        <w:rPr>
          <w:sz w:val="32"/>
          <w:szCs w:val="32"/>
          <w:lang w:val="fr-FR"/>
        </w:rPr>
      </w:pPr>
    </w:p>
    <w:p w:rsidR="00E76B62" w:rsidRDefault="00532BD7" w:rsidP="00E76B62">
      <w:pPr>
        <w:pStyle w:val="TM1"/>
        <w:tabs>
          <w:tab w:val="right" w:leader="dot" w:pos="9062"/>
        </w:tabs>
        <w:spacing w:before="0" w:after="0"/>
        <w:rPr>
          <w:noProof/>
          <w:sz w:val="22"/>
          <w:szCs w:val="22"/>
          <w:lang w:val="fr-FR" w:eastAsia="fr-FR" w:bidi="ar-SA"/>
        </w:rPr>
      </w:pPr>
      <w:r>
        <w:rPr>
          <w:sz w:val="32"/>
          <w:szCs w:val="32"/>
          <w:lang w:val="fr-FR"/>
        </w:rPr>
        <w:fldChar w:fldCharType="begin"/>
      </w:r>
      <w:r w:rsidR="008C0907">
        <w:rPr>
          <w:sz w:val="32"/>
          <w:szCs w:val="32"/>
          <w:lang w:val="fr-FR"/>
        </w:rPr>
        <w:instrText xml:space="preserve"> TOC \o "1-3" \h \z \u </w:instrText>
      </w:r>
      <w:r>
        <w:rPr>
          <w:sz w:val="32"/>
          <w:szCs w:val="32"/>
          <w:lang w:val="fr-FR"/>
        </w:rPr>
        <w:fldChar w:fldCharType="separate"/>
      </w:r>
      <w:hyperlink w:anchor="_Toc310855626" w:history="1">
        <w:r w:rsidR="00E76B62" w:rsidRPr="00A94B1E">
          <w:rPr>
            <w:rStyle w:val="Lienhypertexte"/>
            <w:noProof/>
            <w:lang w:val="fr-FR"/>
          </w:rPr>
          <w:t>1 – Positionnement de l’étude</w:t>
        </w:r>
        <w:r w:rsidR="00E76B62">
          <w:rPr>
            <w:noProof/>
            <w:webHidden/>
          </w:rPr>
          <w:tab/>
        </w:r>
        <w:r>
          <w:rPr>
            <w:noProof/>
            <w:webHidden/>
          </w:rPr>
          <w:fldChar w:fldCharType="begin"/>
        </w:r>
        <w:r w:rsidR="00E76B62">
          <w:rPr>
            <w:noProof/>
            <w:webHidden/>
          </w:rPr>
          <w:instrText xml:space="preserve"> PAGEREF _Toc310855626 \h </w:instrText>
        </w:r>
        <w:r>
          <w:rPr>
            <w:noProof/>
            <w:webHidden/>
          </w:rPr>
        </w:r>
        <w:r>
          <w:rPr>
            <w:noProof/>
            <w:webHidden/>
          </w:rPr>
          <w:fldChar w:fldCharType="separate"/>
        </w:r>
        <w:r w:rsidR="00622529">
          <w:rPr>
            <w:noProof/>
            <w:webHidden/>
          </w:rPr>
          <w:t>5</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27" w:history="1">
        <w:r w:rsidR="00E76B62" w:rsidRPr="00A94B1E">
          <w:rPr>
            <w:rStyle w:val="Lienhypertexte"/>
            <w:noProof/>
            <w:lang w:val="fr-FR"/>
          </w:rPr>
          <w:t>1.1 Contexte</w:t>
        </w:r>
        <w:r w:rsidR="00E76B62">
          <w:rPr>
            <w:noProof/>
            <w:webHidden/>
          </w:rPr>
          <w:tab/>
        </w:r>
        <w:r>
          <w:rPr>
            <w:noProof/>
            <w:webHidden/>
          </w:rPr>
          <w:fldChar w:fldCharType="begin"/>
        </w:r>
        <w:r w:rsidR="00E76B62">
          <w:rPr>
            <w:noProof/>
            <w:webHidden/>
          </w:rPr>
          <w:instrText xml:space="preserve"> PAGEREF _Toc310855627 \h </w:instrText>
        </w:r>
        <w:r>
          <w:rPr>
            <w:noProof/>
            <w:webHidden/>
          </w:rPr>
        </w:r>
        <w:r>
          <w:rPr>
            <w:noProof/>
            <w:webHidden/>
          </w:rPr>
          <w:fldChar w:fldCharType="separate"/>
        </w:r>
        <w:r w:rsidR="00622529">
          <w:rPr>
            <w:noProof/>
            <w:webHidden/>
          </w:rPr>
          <w:t>5</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28" w:history="1">
        <w:r w:rsidR="00E76B62" w:rsidRPr="00A94B1E">
          <w:rPr>
            <w:rStyle w:val="Lienhypertexte"/>
            <w:noProof/>
            <w:lang w:val="fr-FR"/>
          </w:rPr>
          <w:t>1.2 Territoires couverts</w:t>
        </w:r>
        <w:r w:rsidR="00E76B62">
          <w:rPr>
            <w:noProof/>
            <w:webHidden/>
          </w:rPr>
          <w:tab/>
        </w:r>
        <w:r>
          <w:rPr>
            <w:noProof/>
            <w:webHidden/>
          </w:rPr>
          <w:fldChar w:fldCharType="begin"/>
        </w:r>
        <w:r w:rsidR="00E76B62">
          <w:rPr>
            <w:noProof/>
            <w:webHidden/>
          </w:rPr>
          <w:instrText xml:space="preserve"> PAGEREF _Toc310855628 \h </w:instrText>
        </w:r>
        <w:r>
          <w:rPr>
            <w:noProof/>
            <w:webHidden/>
          </w:rPr>
        </w:r>
        <w:r>
          <w:rPr>
            <w:noProof/>
            <w:webHidden/>
          </w:rPr>
          <w:fldChar w:fldCharType="separate"/>
        </w:r>
        <w:r w:rsidR="00622529">
          <w:rPr>
            <w:noProof/>
            <w:webHidden/>
          </w:rPr>
          <w:t>5</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29" w:history="1">
        <w:r w:rsidR="00E76B62" w:rsidRPr="00A94B1E">
          <w:rPr>
            <w:rStyle w:val="Lienhypertexte"/>
            <w:noProof/>
            <w:lang w:val="fr-FR"/>
          </w:rPr>
          <w:t>1.3 Réglementation</w:t>
        </w:r>
        <w:r w:rsidR="00E76B62">
          <w:rPr>
            <w:noProof/>
            <w:webHidden/>
          </w:rPr>
          <w:tab/>
        </w:r>
        <w:r>
          <w:rPr>
            <w:noProof/>
            <w:webHidden/>
          </w:rPr>
          <w:fldChar w:fldCharType="begin"/>
        </w:r>
        <w:r w:rsidR="00E76B62">
          <w:rPr>
            <w:noProof/>
            <w:webHidden/>
          </w:rPr>
          <w:instrText xml:space="preserve"> PAGEREF _Toc310855629 \h </w:instrText>
        </w:r>
        <w:r>
          <w:rPr>
            <w:noProof/>
            <w:webHidden/>
          </w:rPr>
        </w:r>
        <w:r>
          <w:rPr>
            <w:noProof/>
            <w:webHidden/>
          </w:rPr>
          <w:fldChar w:fldCharType="separate"/>
        </w:r>
        <w:r w:rsidR="00622529">
          <w:rPr>
            <w:noProof/>
            <w:webHidden/>
          </w:rPr>
          <w:t>5</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30" w:history="1">
        <w:r w:rsidR="00E76B62" w:rsidRPr="00A94B1E">
          <w:rPr>
            <w:rStyle w:val="Lienhypertexte"/>
            <w:noProof/>
            <w:lang w:val="fr-FR"/>
          </w:rPr>
          <w:t>1.4 Classement des territoires</w:t>
        </w:r>
        <w:r w:rsidR="00E76B62">
          <w:rPr>
            <w:noProof/>
            <w:webHidden/>
          </w:rPr>
          <w:tab/>
        </w:r>
        <w:r>
          <w:rPr>
            <w:noProof/>
            <w:webHidden/>
          </w:rPr>
          <w:fldChar w:fldCharType="begin"/>
        </w:r>
        <w:r w:rsidR="00E76B62">
          <w:rPr>
            <w:noProof/>
            <w:webHidden/>
          </w:rPr>
          <w:instrText xml:space="preserve"> PAGEREF _Toc310855630 \h </w:instrText>
        </w:r>
        <w:r>
          <w:rPr>
            <w:noProof/>
            <w:webHidden/>
          </w:rPr>
        </w:r>
        <w:r>
          <w:rPr>
            <w:noProof/>
            <w:webHidden/>
          </w:rPr>
          <w:fldChar w:fldCharType="separate"/>
        </w:r>
        <w:r w:rsidR="00622529">
          <w:rPr>
            <w:noProof/>
            <w:webHidden/>
          </w:rPr>
          <w:t>6</w:t>
        </w:r>
        <w:r>
          <w:rPr>
            <w:noProof/>
            <w:webHidden/>
          </w:rPr>
          <w:fldChar w:fldCharType="end"/>
        </w:r>
      </w:hyperlink>
    </w:p>
    <w:p w:rsidR="00E76B62" w:rsidRDefault="00532BD7" w:rsidP="00E76B62">
      <w:pPr>
        <w:pStyle w:val="TM1"/>
        <w:tabs>
          <w:tab w:val="right" w:leader="dot" w:pos="9062"/>
        </w:tabs>
        <w:spacing w:before="0" w:after="0"/>
        <w:rPr>
          <w:noProof/>
          <w:sz w:val="22"/>
          <w:szCs w:val="22"/>
          <w:lang w:val="fr-FR" w:eastAsia="fr-FR" w:bidi="ar-SA"/>
        </w:rPr>
      </w:pPr>
      <w:hyperlink w:anchor="_Toc310855631" w:history="1">
        <w:r w:rsidR="00E76B62" w:rsidRPr="00A94B1E">
          <w:rPr>
            <w:rStyle w:val="Lienhypertexte"/>
            <w:noProof/>
            <w:lang w:val="fr-FR"/>
          </w:rPr>
          <w:t>2 – Méthodologie</w:t>
        </w:r>
        <w:r w:rsidR="00E76B62">
          <w:rPr>
            <w:noProof/>
            <w:webHidden/>
          </w:rPr>
          <w:tab/>
        </w:r>
        <w:r>
          <w:rPr>
            <w:noProof/>
            <w:webHidden/>
          </w:rPr>
          <w:fldChar w:fldCharType="begin"/>
        </w:r>
        <w:r w:rsidR="00E76B62">
          <w:rPr>
            <w:noProof/>
            <w:webHidden/>
          </w:rPr>
          <w:instrText xml:space="preserve"> PAGEREF _Toc310855631 \h </w:instrText>
        </w:r>
        <w:r>
          <w:rPr>
            <w:noProof/>
            <w:webHidden/>
          </w:rPr>
        </w:r>
        <w:r>
          <w:rPr>
            <w:noProof/>
            <w:webHidden/>
          </w:rPr>
          <w:fldChar w:fldCharType="separate"/>
        </w:r>
        <w:r w:rsidR="00622529">
          <w:rPr>
            <w:noProof/>
            <w:webHidden/>
          </w:rPr>
          <w:t>7</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32" w:history="1">
        <w:r w:rsidR="00E76B62" w:rsidRPr="00A94B1E">
          <w:rPr>
            <w:rStyle w:val="Lienhypertexte"/>
            <w:noProof/>
            <w:lang w:val="fr-FR"/>
          </w:rPr>
          <w:t>2.1 Rappel de la méthode de calcul générale</w:t>
        </w:r>
        <w:r w:rsidR="00E76B62">
          <w:rPr>
            <w:noProof/>
            <w:webHidden/>
          </w:rPr>
          <w:tab/>
        </w:r>
        <w:r>
          <w:rPr>
            <w:noProof/>
            <w:webHidden/>
          </w:rPr>
          <w:fldChar w:fldCharType="begin"/>
        </w:r>
        <w:r w:rsidR="00E76B62">
          <w:rPr>
            <w:noProof/>
            <w:webHidden/>
          </w:rPr>
          <w:instrText xml:space="preserve"> PAGEREF _Toc310855632 \h </w:instrText>
        </w:r>
        <w:r>
          <w:rPr>
            <w:noProof/>
            <w:webHidden/>
          </w:rPr>
        </w:r>
        <w:r>
          <w:rPr>
            <w:noProof/>
            <w:webHidden/>
          </w:rPr>
          <w:fldChar w:fldCharType="separate"/>
        </w:r>
        <w:r w:rsidR="00622529">
          <w:rPr>
            <w:noProof/>
            <w:webHidden/>
          </w:rPr>
          <w:t>7</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33" w:history="1">
        <w:r w:rsidR="00E76B62" w:rsidRPr="00A94B1E">
          <w:rPr>
            <w:rStyle w:val="Lienhypertexte"/>
            <w:noProof/>
            <w:lang w:val="fr-FR"/>
          </w:rPr>
          <w:t>2.2 Approche utilisée pour les DOM COM</w:t>
        </w:r>
        <w:r w:rsidR="00E76B62">
          <w:rPr>
            <w:noProof/>
            <w:webHidden/>
          </w:rPr>
          <w:tab/>
        </w:r>
        <w:r>
          <w:rPr>
            <w:noProof/>
            <w:webHidden/>
          </w:rPr>
          <w:fldChar w:fldCharType="begin"/>
        </w:r>
        <w:r w:rsidR="00E76B62">
          <w:rPr>
            <w:noProof/>
            <w:webHidden/>
          </w:rPr>
          <w:instrText xml:space="preserve"> PAGEREF _Toc310855633 \h </w:instrText>
        </w:r>
        <w:r>
          <w:rPr>
            <w:noProof/>
            <w:webHidden/>
          </w:rPr>
        </w:r>
        <w:r>
          <w:rPr>
            <w:noProof/>
            <w:webHidden/>
          </w:rPr>
          <w:fldChar w:fldCharType="separate"/>
        </w:r>
        <w:r w:rsidR="00622529">
          <w:rPr>
            <w:noProof/>
            <w:webHidden/>
          </w:rPr>
          <w:t>8</w:t>
        </w:r>
        <w:r>
          <w:rPr>
            <w:noProof/>
            <w:webHidden/>
          </w:rPr>
          <w:fldChar w:fldCharType="end"/>
        </w:r>
      </w:hyperlink>
    </w:p>
    <w:p w:rsidR="00E76B62" w:rsidRDefault="00532BD7" w:rsidP="00E76B62">
      <w:pPr>
        <w:pStyle w:val="TM1"/>
        <w:tabs>
          <w:tab w:val="right" w:leader="dot" w:pos="9062"/>
        </w:tabs>
        <w:spacing w:before="0" w:after="0"/>
        <w:rPr>
          <w:noProof/>
          <w:sz w:val="22"/>
          <w:szCs w:val="22"/>
          <w:lang w:val="fr-FR" w:eastAsia="fr-FR" w:bidi="ar-SA"/>
        </w:rPr>
      </w:pPr>
      <w:hyperlink w:anchor="_Toc310855634" w:history="1">
        <w:r w:rsidR="00E76B62" w:rsidRPr="00A94B1E">
          <w:rPr>
            <w:rStyle w:val="Lienhypertexte"/>
            <w:noProof/>
            <w:lang w:val="fr-FR"/>
          </w:rPr>
          <w:t>3 – Hypothèses générales DOM COM</w:t>
        </w:r>
        <w:r w:rsidR="00E76B62">
          <w:rPr>
            <w:noProof/>
            <w:webHidden/>
          </w:rPr>
          <w:tab/>
        </w:r>
        <w:r>
          <w:rPr>
            <w:noProof/>
            <w:webHidden/>
          </w:rPr>
          <w:fldChar w:fldCharType="begin"/>
        </w:r>
        <w:r w:rsidR="00E76B62">
          <w:rPr>
            <w:noProof/>
            <w:webHidden/>
          </w:rPr>
          <w:instrText xml:space="preserve"> PAGEREF _Toc310855634 \h </w:instrText>
        </w:r>
        <w:r>
          <w:rPr>
            <w:noProof/>
            <w:webHidden/>
          </w:rPr>
        </w:r>
        <w:r>
          <w:rPr>
            <w:noProof/>
            <w:webHidden/>
          </w:rPr>
          <w:fldChar w:fldCharType="separate"/>
        </w:r>
        <w:r w:rsidR="00622529">
          <w:rPr>
            <w:noProof/>
            <w:webHidden/>
          </w:rPr>
          <w:t>9</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35" w:history="1">
        <w:r w:rsidR="00E76B62" w:rsidRPr="00A94B1E">
          <w:rPr>
            <w:rStyle w:val="Lienhypertexte"/>
            <w:noProof/>
            <w:lang w:val="fr-FR"/>
          </w:rPr>
          <w:t>3.1 Le Modèle « Métropole décalé»</w:t>
        </w:r>
        <w:r w:rsidR="00E76B62">
          <w:rPr>
            <w:noProof/>
            <w:webHidden/>
          </w:rPr>
          <w:tab/>
        </w:r>
        <w:r>
          <w:rPr>
            <w:noProof/>
            <w:webHidden/>
          </w:rPr>
          <w:fldChar w:fldCharType="begin"/>
        </w:r>
        <w:r w:rsidR="00E76B62">
          <w:rPr>
            <w:noProof/>
            <w:webHidden/>
          </w:rPr>
          <w:instrText xml:space="preserve"> PAGEREF _Toc310855635 \h </w:instrText>
        </w:r>
        <w:r>
          <w:rPr>
            <w:noProof/>
            <w:webHidden/>
          </w:rPr>
        </w:r>
        <w:r>
          <w:rPr>
            <w:noProof/>
            <w:webHidden/>
          </w:rPr>
          <w:fldChar w:fldCharType="separate"/>
        </w:r>
        <w:r w:rsidR="00622529">
          <w:rPr>
            <w:noProof/>
            <w:webHidden/>
          </w:rPr>
          <w:t>9</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36" w:history="1">
        <w:r w:rsidR="00E76B62" w:rsidRPr="00A94B1E">
          <w:rPr>
            <w:rStyle w:val="Lienhypertexte"/>
            <w:noProof/>
            <w:lang w:val="fr-FR"/>
          </w:rPr>
          <w:t>3.2 Le Modèle « EIT »</w:t>
        </w:r>
        <w:r w:rsidR="00E76B62">
          <w:rPr>
            <w:noProof/>
            <w:webHidden/>
          </w:rPr>
          <w:tab/>
        </w:r>
        <w:r>
          <w:rPr>
            <w:noProof/>
            <w:webHidden/>
          </w:rPr>
          <w:fldChar w:fldCharType="begin"/>
        </w:r>
        <w:r w:rsidR="00E76B62">
          <w:rPr>
            <w:noProof/>
            <w:webHidden/>
          </w:rPr>
          <w:instrText xml:space="preserve"> PAGEREF _Toc310855636 \h </w:instrText>
        </w:r>
        <w:r>
          <w:rPr>
            <w:noProof/>
            <w:webHidden/>
          </w:rPr>
        </w:r>
        <w:r>
          <w:rPr>
            <w:noProof/>
            <w:webHidden/>
          </w:rPr>
          <w:fldChar w:fldCharType="separate"/>
        </w:r>
        <w:r w:rsidR="00622529">
          <w:rPr>
            <w:noProof/>
            <w:webHidden/>
          </w:rPr>
          <w:t>10</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37" w:history="1">
        <w:r w:rsidR="00E76B62" w:rsidRPr="00A94B1E">
          <w:rPr>
            <w:rStyle w:val="Lienhypertexte"/>
            <w:noProof/>
            <w:lang w:val="fr-FR"/>
          </w:rPr>
          <w:t>3.3 SIMPLIFICATIONS</w:t>
        </w:r>
        <w:r w:rsidR="00E76B62">
          <w:rPr>
            <w:noProof/>
            <w:webHidden/>
          </w:rPr>
          <w:tab/>
        </w:r>
        <w:r>
          <w:rPr>
            <w:noProof/>
            <w:webHidden/>
          </w:rPr>
          <w:fldChar w:fldCharType="begin"/>
        </w:r>
        <w:r w:rsidR="00E76B62">
          <w:rPr>
            <w:noProof/>
            <w:webHidden/>
          </w:rPr>
          <w:instrText xml:space="preserve"> PAGEREF _Toc310855637 \h </w:instrText>
        </w:r>
        <w:r>
          <w:rPr>
            <w:noProof/>
            <w:webHidden/>
          </w:rPr>
        </w:r>
        <w:r>
          <w:rPr>
            <w:noProof/>
            <w:webHidden/>
          </w:rPr>
          <w:fldChar w:fldCharType="separate"/>
        </w:r>
        <w:r w:rsidR="00622529">
          <w:rPr>
            <w:noProof/>
            <w:webHidden/>
          </w:rPr>
          <w:t>11</w:t>
        </w:r>
        <w:r>
          <w:rPr>
            <w:noProof/>
            <w:webHidden/>
          </w:rPr>
          <w:fldChar w:fldCharType="end"/>
        </w:r>
      </w:hyperlink>
    </w:p>
    <w:p w:rsidR="00E76B62" w:rsidRDefault="00532BD7" w:rsidP="00E76B62">
      <w:pPr>
        <w:pStyle w:val="TM1"/>
        <w:tabs>
          <w:tab w:val="right" w:leader="dot" w:pos="9062"/>
        </w:tabs>
        <w:spacing w:before="0" w:after="0"/>
        <w:rPr>
          <w:noProof/>
          <w:sz w:val="22"/>
          <w:szCs w:val="22"/>
          <w:lang w:val="fr-FR" w:eastAsia="fr-FR" w:bidi="ar-SA"/>
        </w:rPr>
      </w:pPr>
      <w:hyperlink w:anchor="_Toc310855638" w:history="1">
        <w:r w:rsidR="00E76B62" w:rsidRPr="00A94B1E">
          <w:rPr>
            <w:rStyle w:val="Lienhypertexte"/>
            <w:noProof/>
            <w:lang w:val="fr-FR"/>
          </w:rPr>
          <w:t>4 – Statistiques et hypothèses par secteur</w:t>
        </w:r>
        <w:r w:rsidR="00E76B62">
          <w:rPr>
            <w:noProof/>
            <w:webHidden/>
          </w:rPr>
          <w:tab/>
        </w:r>
        <w:r>
          <w:rPr>
            <w:noProof/>
            <w:webHidden/>
          </w:rPr>
          <w:fldChar w:fldCharType="begin"/>
        </w:r>
        <w:r w:rsidR="00E76B62">
          <w:rPr>
            <w:noProof/>
            <w:webHidden/>
          </w:rPr>
          <w:instrText xml:space="preserve"> PAGEREF _Toc310855638 \h </w:instrText>
        </w:r>
        <w:r>
          <w:rPr>
            <w:noProof/>
            <w:webHidden/>
          </w:rPr>
        </w:r>
        <w:r>
          <w:rPr>
            <w:noProof/>
            <w:webHidden/>
          </w:rPr>
          <w:fldChar w:fldCharType="separate"/>
        </w:r>
        <w:r w:rsidR="00622529">
          <w:rPr>
            <w:noProof/>
            <w:webHidden/>
          </w:rPr>
          <w:t>11</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39" w:history="1">
        <w:r w:rsidR="00E76B62" w:rsidRPr="00A94B1E">
          <w:rPr>
            <w:rStyle w:val="Lienhypertexte"/>
            <w:noProof/>
            <w:lang w:val="fr-FR"/>
          </w:rPr>
          <w:t>4.1 Marchés et productions</w:t>
        </w:r>
        <w:r w:rsidR="00E76B62">
          <w:rPr>
            <w:noProof/>
            <w:webHidden/>
          </w:rPr>
          <w:tab/>
        </w:r>
        <w:r>
          <w:rPr>
            <w:noProof/>
            <w:webHidden/>
          </w:rPr>
          <w:fldChar w:fldCharType="begin"/>
        </w:r>
        <w:r w:rsidR="00E76B62">
          <w:rPr>
            <w:noProof/>
            <w:webHidden/>
          </w:rPr>
          <w:instrText xml:space="preserve"> PAGEREF _Toc310855639 \h </w:instrText>
        </w:r>
        <w:r>
          <w:rPr>
            <w:noProof/>
            <w:webHidden/>
          </w:rPr>
        </w:r>
        <w:r>
          <w:rPr>
            <w:noProof/>
            <w:webHidden/>
          </w:rPr>
          <w:fldChar w:fldCharType="separate"/>
        </w:r>
        <w:r w:rsidR="00622529">
          <w:rPr>
            <w:noProof/>
            <w:webHidden/>
          </w:rPr>
          <w:t>11</w:t>
        </w:r>
        <w:r>
          <w:rPr>
            <w:noProof/>
            <w:webHidden/>
          </w:rPr>
          <w:fldChar w:fldCharType="end"/>
        </w:r>
      </w:hyperlink>
    </w:p>
    <w:p w:rsidR="00E76B62" w:rsidRDefault="00532BD7" w:rsidP="00E76B62">
      <w:pPr>
        <w:pStyle w:val="TM3"/>
        <w:tabs>
          <w:tab w:val="right" w:leader="dot" w:pos="9062"/>
        </w:tabs>
        <w:spacing w:before="0" w:after="0"/>
        <w:rPr>
          <w:noProof/>
          <w:sz w:val="22"/>
          <w:szCs w:val="22"/>
          <w:lang w:val="fr-FR" w:eastAsia="fr-FR" w:bidi="ar-SA"/>
        </w:rPr>
      </w:pPr>
      <w:hyperlink w:anchor="_Toc310855640" w:history="1">
        <w:r w:rsidR="00E76B62" w:rsidRPr="00A94B1E">
          <w:rPr>
            <w:rStyle w:val="Lienhypertexte"/>
            <w:noProof/>
            <w:lang w:val="fr-FR"/>
          </w:rPr>
          <w:t>4.1.1 Froid domestique</w:t>
        </w:r>
        <w:r w:rsidR="00E76B62">
          <w:rPr>
            <w:noProof/>
            <w:webHidden/>
          </w:rPr>
          <w:tab/>
        </w:r>
        <w:r>
          <w:rPr>
            <w:noProof/>
            <w:webHidden/>
          </w:rPr>
          <w:fldChar w:fldCharType="begin"/>
        </w:r>
        <w:r w:rsidR="00E76B62">
          <w:rPr>
            <w:noProof/>
            <w:webHidden/>
          </w:rPr>
          <w:instrText xml:space="preserve"> PAGEREF _Toc310855640 \h </w:instrText>
        </w:r>
        <w:r>
          <w:rPr>
            <w:noProof/>
            <w:webHidden/>
          </w:rPr>
        </w:r>
        <w:r>
          <w:rPr>
            <w:noProof/>
            <w:webHidden/>
          </w:rPr>
          <w:fldChar w:fldCharType="separate"/>
        </w:r>
        <w:r w:rsidR="00622529">
          <w:rPr>
            <w:noProof/>
            <w:webHidden/>
          </w:rPr>
          <w:t>11</w:t>
        </w:r>
        <w:r>
          <w:rPr>
            <w:noProof/>
            <w:webHidden/>
          </w:rPr>
          <w:fldChar w:fldCharType="end"/>
        </w:r>
      </w:hyperlink>
    </w:p>
    <w:p w:rsidR="00E76B62" w:rsidRDefault="00532BD7" w:rsidP="00E76B62">
      <w:pPr>
        <w:pStyle w:val="TM3"/>
        <w:tabs>
          <w:tab w:val="right" w:leader="dot" w:pos="9062"/>
        </w:tabs>
        <w:spacing w:before="0" w:after="0"/>
        <w:rPr>
          <w:noProof/>
          <w:sz w:val="22"/>
          <w:szCs w:val="22"/>
          <w:lang w:val="fr-FR" w:eastAsia="fr-FR" w:bidi="ar-SA"/>
        </w:rPr>
      </w:pPr>
      <w:hyperlink w:anchor="_Toc310855641" w:history="1">
        <w:r w:rsidR="00E76B62" w:rsidRPr="00A94B1E">
          <w:rPr>
            <w:rStyle w:val="Lienhypertexte"/>
            <w:noProof/>
            <w:lang w:val="fr-FR"/>
          </w:rPr>
          <w:t>4.1.2 Froid Commercial</w:t>
        </w:r>
        <w:r w:rsidR="00E76B62">
          <w:rPr>
            <w:noProof/>
            <w:webHidden/>
          </w:rPr>
          <w:tab/>
        </w:r>
        <w:r>
          <w:rPr>
            <w:noProof/>
            <w:webHidden/>
          </w:rPr>
          <w:fldChar w:fldCharType="begin"/>
        </w:r>
        <w:r w:rsidR="00E76B62">
          <w:rPr>
            <w:noProof/>
            <w:webHidden/>
          </w:rPr>
          <w:instrText xml:space="preserve"> PAGEREF _Toc310855641 \h </w:instrText>
        </w:r>
        <w:r>
          <w:rPr>
            <w:noProof/>
            <w:webHidden/>
          </w:rPr>
        </w:r>
        <w:r>
          <w:rPr>
            <w:noProof/>
            <w:webHidden/>
          </w:rPr>
          <w:fldChar w:fldCharType="separate"/>
        </w:r>
        <w:r w:rsidR="00622529">
          <w:rPr>
            <w:noProof/>
            <w:webHidden/>
          </w:rPr>
          <w:t>12</w:t>
        </w:r>
        <w:r>
          <w:rPr>
            <w:noProof/>
            <w:webHidden/>
          </w:rPr>
          <w:fldChar w:fldCharType="end"/>
        </w:r>
      </w:hyperlink>
    </w:p>
    <w:p w:rsidR="00E76B62" w:rsidRDefault="00532BD7" w:rsidP="00E76B62">
      <w:pPr>
        <w:pStyle w:val="TM3"/>
        <w:tabs>
          <w:tab w:val="right" w:leader="dot" w:pos="9062"/>
        </w:tabs>
        <w:spacing w:before="0" w:after="0"/>
        <w:rPr>
          <w:noProof/>
          <w:sz w:val="22"/>
          <w:szCs w:val="22"/>
          <w:lang w:val="fr-FR" w:eastAsia="fr-FR" w:bidi="ar-SA"/>
        </w:rPr>
      </w:pPr>
      <w:hyperlink w:anchor="_Toc310855642" w:history="1">
        <w:r w:rsidR="00E76B62" w:rsidRPr="00A94B1E">
          <w:rPr>
            <w:rStyle w:val="Lienhypertexte"/>
            <w:noProof/>
            <w:lang w:val="fr-FR"/>
          </w:rPr>
          <w:t>4.1.3 transport</w:t>
        </w:r>
        <w:r w:rsidR="00E76B62">
          <w:rPr>
            <w:noProof/>
            <w:webHidden/>
          </w:rPr>
          <w:tab/>
        </w:r>
        <w:r>
          <w:rPr>
            <w:noProof/>
            <w:webHidden/>
          </w:rPr>
          <w:fldChar w:fldCharType="begin"/>
        </w:r>
        <w:r w:rsidR="00E76B62">
          <w:rPr>
            <w:noProof/>
            <w:webHidden/>
          </w:rPr>
          <w:instrText xml:space="preserve"> PAGEREF _Toc310855642 \h </w:instrText>
        </w:r>
        <w:r>
          <w:rPr>
            <w:noProof/>
            <w:webHidden/>
          </w:rPr>
        </w:r>
        <w:r>
          <w:rPr>
            <w:noProof/>
            <w:webHidden/>
          </w:rPr>
          <w:fldChar w:fldCharType="separate"/>
        </w:r>
        <w:r w:rsidR="00622529">
          <w:rPr>
            <w:noProof/>
            <w:webHidden/>
          </w:rPr>
          <w:t>13</w:t>
        </w:r>
        <w:r>
          <w:rPr>
            <w:noProof/>
            <w:webHidden/>
          </w:rPr>
          <w:fldChar w:fldCharType="end"/>
        </w:r>
      </w:hyperlink>
    </w:p>
    <w:p w:rsidR="00E76B62" w:rsidRDefault="00532BD7" w:rsidP="00E76B62">
      <w:pPr>
        <w:pStyle w:val="TM3"/>
        <w:tabs>
          <w:tab w:val="left" w:pos="1100"/>
          <w:tab w:val="right" w:leader="dot" w:pos="9062"/>
        </w:tabs>
        <w:spacing w:before="0" w:after="0"/>
        <w:rPr>
          <w:noProof/>
          <w:sz w:val="22"/>
          <w:szCs w:val="22"/>
          <w:lang w:val="fr-FR" w:eastAsia="fr-FR" w:bidi="ar-SA"/>
        </w:rPr>
      </w:pPr>
      <w:hyperlink w:anchor="_Toc310855643" w:history="1">
        <w:r w:rsidR="00E76B62" w:rsidRPr="00A94B1E">
          <w:rPr>
            <w:rStyle w:val="Lienhypertexte"/>
            <w:noProof/>
            <w:lang w:val="fr-FR"/>
          </w:rPr>
          <w:t>4.1.4</w:t>
        </w:r>
        <w:r w:rsidR="00E76B62">
          <w:rPr>
            <w:noProof/>
            <w:sz w:val="22"/>
            <w:szCs w:val="22"/>
            <w:lang w:val="fr-FR" w:eastAsia="fr-FR" w:bidi="ar-SA"/>
          </w:rPr>
          <w:tab/>
        </w:r>
        <w:r w:rsidR="00E76B62" w:rsidRPr="00A94B1E">
          <w:rPr>
            <w:rStyle w:val="Lienhypertexte"/>
            <w:noProof/>
            <w:lang w:val="fr-FR"/>
          </w:rPr>
          <w:t>industries</w:t>
        </w:r>
        <w:r w:rsidR="00E76B62">
          <w:rPr>
            <w:noProof/>
            <w:webHidden/>
          </w:rPr>
          <w:tab/>
        </w:r>
        <w:r>
          <w:rPr>
            <w:noProof/>
            <w:webHidden/>
          </w:rPr>
          <w:fldChar w:fldCharType="begin"/>
        </w:r>
        <w:r w:rsidR="00E76B62">
          <w:rPr>
            <w:noProof/>
            <w:webHidden/>
          </w:rPr>
          <w:instrText xml:space="preserve"> PAGEREF _Toc310855643 \h </w:instrText>
        </w:r>
        <w:r>
          <w:rPr>
            <w:noProof/>
            <w:webHidden/>
          </w:rPr>
        </w:r>
        <w:r>
          <w:rPr>
            <w:noProof/>
            <w:webHidden/>
          </w:rPr>
          <w:fldChar w:fldCharType="separate"/>
        </w:r>
        <w:r w:rsidR="00622529">
          <w:rPr>
            <w:noProof/>
            <w:webHidden/>
          </w:rPr>
          <w:t>14</w:t>
        </w:r>
        <w:r>
          <w:rPr>
            <w:noProof/>
            <w:webHidden/>
          </w:rPr>
          <w:fldChar w:fldCharType="end"/>
        </w:r>
      </w:hyperlink>
    </w:p>
    <w:p w:rsidR="00E76B62" w:rsidRDefault="00532BD7" w:rsidP="00E76B62">
      <w:pPr>
        <w:pStyle w:val="TM3"/>
        <w:tabs>
          <w:tab w:val="right" w:leader="dot" w:pos="9062"/>
        </w:tabs>
        <w:spacing w:before="0" w:after="0"/>
        <w:rPr>
          <w:noProof/>
          <w:sz w:val="22"/>
          <w:szCs w:val="22"/>
          <w:lang w:val="fr-FR" w:eastAsia="fr-FR" w:bidi="ar-SA"/>
        </w:rPr>
      </w:pPr>
      <w:hyperlink w:anchor="_Toc310855644" w:history="1">
        <w:r w:rsidR="00E76B62" w:rsidRPr="00A94B1E">
          <w:rPr>
            <w:rStyle w:val="Lienhypertexte"/>
            <w:noProof/>
            <w:lang w:val="fr-FR"/>
          </w:rPr>
          <w:t>4.1.5 climatisation a air</w:t>
        </w:r>
        <w:r w:rsidR="00E76B62">
          <w:rPr>
            <w:noProof/>
            <w:webHidden/>
          </w:rPr>
          <w:tab/>
        </w:r>
        <w:r>
          <w:rPr>
            <w:noProof/>
            <w:webHidden/>
          </w:rPr>
          <w:fldChar w:fldCharType="begin"/>
        </w:r>
        <w:r w:rsidR="00E76B62">
          <w:rPr>
            <w:noProof/>
            <w:webHidden/>
          </w:rPr>
          <w:instrText xml:space="preserve"> PAGEREF _Toc310855644 \h </w:instrText>
        </w:r>
        <w:r>
          <w:rPr>
            <w:noProof/>
            <w:webHidden/>
          </w:rPr>
        </w:r>
        <w:r>
          <w:rPr>
            <w:noProof/>
            <w:webHidden/>
          </w:rPr>
          <w:fldChar w:fldCharType="separate"/>
        </w:r>
        <w:r w:rsidR="00622529">
          <w:rPr>
            <w:noProof/>
            <w:webHidden/>
          </w:rPr>
          <w:t>14</w:t>
        </w:r>
        <w:r>
          <w:rPr>
            <w:noProof/>
            <w:webHidden/>
          </w:rPr>
          <w:fldChar w:fldCharType="end"/>
        </w:r>
      </w:hyperlink>
    </w:p>
    <w:p w:rsidR="00E76B62" w:rsidRDefault="00532BD7" w:rsidP="00E76B62">
      <w:pPr>
        <w:pStyle w:val="TM3"/>
        <w:tabs>
          <w:tab w:val="right" w:leader="dot" w:pos="9062"/>
        </w:tabs>
        <w:spacing w:before="0" w:after="0"/>
        <w:rPr>
          <w:noProof/>
          <w:sz w:val="22"/>
          <w:szCs w:val="22"/>
          <w:lang w:val="fr-FR" w:eastAsia="fr-FR" w:bidi="ar-SA"/>
        </w:rPr>
      </w:pPr>
      <w:hyperlink w:anchor="_Toc310855645" w:history="1">
        <w:r w:rsidR="00E76B62" w:rsidRPr="00A94B1E">
          <w:rPr>
            <w:rStyle w:val="Lienhypertexte"/>
            <w:noProof/>
            <w:lang w:val="fr-FR"/>
          </w:rPr>
          <w:t>4.1.6 chillers</w:t>
        </w:r>
        <w:r w:rsidR="00E76B62">
          <w:rPr>
            <w:noProof/>
            <w:webHidden/>
          </w:rPr>
          <w:tab/>
        </w:r>
        <w:r>
          <w:rPr>
            <w:noProof/>
            <w:webHidden/>
          </w:rPr>
          <w:fldChar w:fldCharType="begin"/>
        </w:r>
        <w:r w:rsidR="00E76B62">
          <w:rPr>
            <w:noProof/>
            <w:webHidden/>
          </w:rPr>
          <w:instrText xml:space="preserve"> PAGEREF _Toc310855645 \h </w:instrText>
        </w:r>
        <w:r>
          <w:rPr>
            <w:noProof/>
            <w:webHidden/>
          </w:rPr>
        </w:r>
        <w:r>
          <w:rPr>
            <w:noProof/>
            <w:webHidden/>
          </w:rPr>
          <w:fldChar w:fldCharType="separate"/>
        </w:r>
        <w:r w:rsidR="00622529">
          <w:rPr>
            <w:noProof/>
            <w:webHidden/>
          </w:rPr>
          <w:t>15</w:t>
        </w:r>
        <w:r>
          <w:rPr>
            <w:noProof/>
            <w:webHidden/>
          </w:rPr>
          <w:fldChar w:fldCharType="end"/>
        </w:r>
      </w:hyperlink>
    </w:p>
    <w:p w:rsidR="00E76B62" w:rsidRDefault="00532BD7" w:rsidP="00E76B62">
      <w:pPr>
        <w:pStyle w:val="TM3"/>
        <w:tabs>
          <w:tab w:val="right" w:leader="dot" w:pos="9062"/>
        </w:tabs>
        <w:spacing w:before="0" w:after="0"/>
        <w:rPr>
          <w:noProof/>
          <w:sz w:val="22"/>
          <w:szCs w:val="22"/>
          <w:lang w:val="fr-FR" w:eastAsia="fr-FR" w:bidi="ar-SA"/>
        </w:rPr>
      </w:pPr>
      <w:hyperlink w:anchor="_Toc310855646" w:history="1">
        <w:r w:rsidR="00E76B62" w:rsidRPr="00A94B1E">
          <w:rPr>
            <w:rStyle w:val="Lienhypertexte"/>
            <w:noProof/>
            <w:lang w:val="fr-FR"/>
          </w:rPr>
          <w:t>4.1.7 climatisation embarquee</w:t>
        </w:r>
        <w:r w:rsidR="00E76B62">
          <w:rPr>
            <w:noProof/>
            <w:webHidden/>
          </w:rPr>
          <w:tab/>
        </w:r>
        <w:r>
          <w:rPr>
            <w:noProof/>
            <w:webHidden/>
          </w:rPr>
          <w:fldChar w:fldCharType="begin"/>
        </w:r>
        <w:r w:rsidR="00E76B62">
          <w:rPr>
            <w:noProof/>
            <w:webHidden/>
          </w:rPr>
          <w:instrText xml:space="preserve"> PAGEREF _Toc310855646 \h </w:instrText>
        </w:r>
        <w:r>
          <w:rPr>
            <w:noProof/>
            <w:webHidden/>
          </w:rPr>
        </w:r>
        <w:r>
          <w:rPr>
            <w:noProof/>
            <w:webHidden/>
          </w:rPr>
          <w:fldChar w:fldCharType="separate"/>
        </w:r>
        <w:r w:rsidR="00622529">
          <w:rPr>
            <w:noProof/>
            <w:webHidden/>
          </w:rPr>
          <w:t>15</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47" w:history="1">
        <w:r w:rsidR="00E76B62" w:rsidRPr="00A94B1E">
          <w:rPr>
            <w:rStyle w:val="Lienhypertexte"/>
            <w:noProof/>
            <w:lang w:val="fr-FR"/>
          </w:rPr>
          <w:t>4.2 Hypothèses 2010</w:t>
        </w:r>
        <w:r w:rsidR="00E76B62">
          <w:rPr>
            <w:noProof/>
            <w:webHidden/>
          </w:rPr>
          <w:tab/>
        </w:r>
        <w:r>
          <w:rPr>
            <w:noProof/>
            <w:webHidden/>
          </w:rPr>
          <w:fldChar w:fldCharType="begin"/>
        </w:r>
        <w:r w:rsidR="00E76B62">
          <w:rPr>
            <w:noProof/>
            <w:webHidden/>
          </w:rPr>
          <w:instrText xml:space="preserve"> PAGEREF _Toc310855647 \h </w:instrText>
        </w:r>
        <w:r>
          <w:rPr>
            <w:noProof/>
            <w:webHidden/>
          </w:rPr>
        </w:r>
        <w:r>
          <w:rPr>
            <w:noProof/>
            <w:webHidden/>
          </w:rPr>
          <w:fldChar w:fldCharType="separate"/>
        </w:r>
        <w:r w:rsidR="00622529">
          <w:rPr>
            <w:noProof/>
            <w:webHidden/>
          </w:rPr>
          <w:t>15</w:t>
        </w:r>
        <w:r>
          <w:rPr>
            <w:noProof/>
            <w:webHidden/>
          </w:rPr>
          <w:fldChar w:fldCharType="end"/>
        </w:r>
      </w:hyperlink>
    </w:p>
    <w:p w:rsidR="00E76B62" w:rsidRDefault="00532BD7" w:rsidP="00E76B62">
      <w:pPr>
        <w:pStyle w:val="TM1"/>
        <w:tabs>
          <w:tab w:val="right" w:leader="dot" w:pos="9062"/>
        </w:tabs>
        <w:spacing w:before="0" w:after="0"/>
        <w:rPr>
          <w:noProof/>
          <w:sz w:val="22"/>
          <w:szCs w:val="22"/>
          <w:lang w:val="fr-FR" w:eastAsia="fr-FR" w:bidi="ar-SA"/>
        </w:rPr>
      </w:pPr>
      <w:hyperlink w:anchor="_Toc310855648" w:history="1">
        <w:r w:rsidR="00E76B62" w:rsidRPr="00A94B1E">
          <w:rPr>
            <w:rStyle w:val="Lienhypertexte"/>
            <w:noProof/>
            <w:lang w:val="fr-FR"/>
          </w:rPr>
          <w:t>5 - Résultats</w:t>
        </w:r>
        <w:r w:rsidR="00E76B62">
          <w:rPr>
            <w:noProof/>
            <w:webHidden/>
          </w:rPr>
          <w:tab/>
        </w:r>
        <w:r>
          <w:rPr>
            <w:noProof/>
            <w:webHidden/>
          </w:rPr>
          <w:fldChar w:fldCharType="begin"/>
        </w:r>
        <w:r w:rsidR="00E76B62">
          <w:rPr>
            <w:noProof/>
            <w:webHidden/>
          </w:rPr>
          <w:instrText xml:space="preserve"> PAGEREF _Toc310855648 \h </w:instrText>
        </w:r>
        <w:r>
          <w:rPr>
            <w:noProof/>
            <w:webHidden/>
          </w:rPr>
        </w:r>
        <w:r>
          <w:rPr>
            <w:noProof/>
            <w:webHidden/>
          </w:rPr>
          <w:fldChar w:fldCharType="separate"/>
        </w:r>
        <w:r w:rsidR="00622529">
          <w:rPr>
            <w:noProof/>
            <w:webHidden/>
          </w:rPr>
          <w:t>20</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49" w:history="1">
        <w:r w:rsidR="00E76B62" w:rsidRPr="00A94B1E">
          <w:rPr>
            <w:rStyle w:val="Lienhypertexte"/>
            <w:noProof/>
            <w:lang w:val="fr-FR"/>
          </w:rPr>
          <w:t>5.1 Résultats detailles transmis au citepa</w:t>
        </w:r>
        <w:r w:rsidR="00E76B62">
          <w:rPr>
            <w:noProof/>
            <w:webHidden/>
          </w:rPr>
          <w:tab/>
        </w:r>
        <w:r>
          <w:rPr>
            <w:noProof/>
            <w:webHidden/>
          </w:rPr>
          <w:fldChar w:fldCharType="begin"/>
        </w:r>
        <w:r w:rsidR="00E76B62">
          <w:rPr>
            <w:noProof/>
            <w:webHidden/>
          </w:rPr>
          <w:instrText xml:space="preserve"> PAGEREF _Toc310855649 \h </w:instrText>
        </w:r>
        <w:r>
          <w:rPr>
            <w:noProof/>
            <w:webHidden/>
          </w:rPr>
        </w:r>
        <w:r>
          <w:rPr>
            <w:noProof/>
            <w:webHidden/>
          </w:rPr>
          <w:fldChar w:fldCharType="separate"/>
        </w:r>
        <w:r w:rsidR="00622529">
          <w:rPr>
            <w:noProof/>
            <w:webHidden/>
          </w:rPr>
          <w:t>20</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50" w:history="1">
        <w:r w:rsidR="00E76B62" w:rsidRPr="00A94B1E">
          <w:rPr>
            <w:rStyle w:val="Lienhypertexte"/>
            <w:noProof/>
            <w:lang w:val="fr-FR"/>
          </w:rPr>
          <w:t>5.2 SYNTHESE DES RésultatS</w:t>
        </w:r>
        <w:r w:rsidR="00E76B62">
          <w:rPr>
            <w:noProof/>
            <w:webHidden/>
          </w:rPr>
          <w:tab/>
        </w:r>
        <w:r>
          <w:rPr>
            <w:noProof/>
            <w:webHidden/>
          </w:rPr>
          <w:fldChar w:fldCharType="begin"/>
        </w:r>
        <w:r w:rsidR="00E76B62">
          <w:rPr>
            <w:noProof/>
            <w:webHidden/>
          </w:rPr>
          <w:instrText xml:space="preserve"> PAGEREF _Toc310855650 \h </w:instrText>
        </w:r>
        <w:r>
          <w:rPr>
            <w:noProof/>
            <w:webHidden/>
          </w:rPr>
        </w:r>
        <w:r>
          <w:rPr>
            <w:noProof/>
            <w:webHidden/>
          </w:rPr>
          <w:fldChar w:fldCharType="separate"/>
        </w:r>
        <w:r w:rsidR="00622529">
          <w:rPr>
            <w:noProof/>
            <w:webHidden/>
          </w:rPr>
          <w:t>20</w:t>
        </w:r>
        <w:r>
          <w:rPr>
            <w:noProof/>
            <w:webHidden/>
          </w:rPr>
          <w:fldChar w:fldCharType="end"/>
        </w:r>
      </w:hyperlink>
    </w:p>
    <w:p w:rsidR="00E76B62" w:rsidRDefault="00532BD7" w:rsidP="00E76B62">
      <w:pPr>
        <w:pStyle w:val="TM2"/>
        <w:tabs>
          <w:tab w:val="right" w:leader="dot" w:pos="9062"/>
        </w:tabs>
        <w:spacing w:before="0" w:after="0"/>
        <w:rPr>
          <w:noProof/>
          <w:sz w:val="22"/>
          <w:szCs w:val="22"/>
          <w:lang w:val="fr-FR" w:eastAsia="fr-FR" w:bidi="ar-SA"/>
        </w:rPr>
      </w:pPr>
      <w:hyperlink w:anchor="_Toc310855651" w:history="1">
        <w:r w:rsidR="00E76B62" w:rsidRPr="00A94B1E">
          <w:rPr>
            <w:rStyle w:val="Lienhypertexte"/>
            <w:noProof/>
            <w:lang w:val="fr-FR"/>
          </w:rPr>
          <w:t>5.3 Cohérence avec les marchés déclarés (données confidentielles)</w:t>
        </w:r>
        <w:r w:rsidR="00E76B62">
          <w:rPr>
            <w:noProof/>
            <w:webHidden/>
          </w:rPr>
          <w:tab/>
        </w:r>
        <w:r>
          <w:rPr>
            <w:noProof/>
            <w:webHidden/>
          </w:rPr>
          <w:fldChar w:fldCharType="begin"/>
        </w:r>
        <w:r w:rsidR="00E76B62">
          <w:rPr>
            <w:noProof/>
            <w:webHidden/>
          </w:rPr>
          <w:instrText xml:space="preserve"> PAGEREF _Toc310855651 \h </w:instrText>
        </w:r>
        <w:r>
          <w:rPr>
            <w:noProof/>
            <w:webHidden/>
          </w:rPr>
        </w:r>
        <w:r>
          <w:rPr>
            <w:noProof/>
            <w:webHidden/>
          </w:rPr>
          <w:fldChar w:fldCharType="separate"/>
        </w:r>
        <w:r w:rsidR="00622529">
          <w:rPr>
            <w:noProof/>
            <w:webHidden/>
          </w:rPr>
          <w:t>25</w:t>
        </w:r>
        <w:r>
          <w:rPr>
            <w:noProof/>
            <w:webHidden/>
          </w:rPr>
          <w:fldChar w:fldCharType="end"/>
        </w:r>
      </w:hyperlink>
    </w:p>
    <w:p w:rsidR="00E76B62" w:rsidRDefault="00532BD7" w:rsidP="00E76B62">
      <w:pPr>
        <w:pStyle w:val="TM1"/>
        <w:tabs>
          <w:tab w:val="right" w:leader="dot" w:pos="9062"/>
        </w:tabs>
        <w:spacing w:before="0" w:after="0"/>
        <w:rPr>
          <w:noProof/>
          <w:sz w:val="22"/>
          <w:szCs w:val="22"/>
          <w:lang w:val="fr-FR" w:eastAsia="fr-FR" w:bidi="ar-SA"/>
        </w:rPr>
      </w:pPr>
      <w:hyperlink w:anchor="_Toc310855652" w:history="1">
        <w:r w:rsidR="00E76B62" w:rsidRPr="00A94B1E">
          <w:rPr>
            <w:rStyle w:val="Lienhypertexte"/>
            <w:noProof/>
          </w:rPr>
          <w:t>6 - Références</w:t>
        </w:r>
        <w:r w:rsidR="00E76B62">
          <w:rPr>
            <w:noProof/>
            <w:webHidden/>
          </w:rPr>
          <w:tab/>
        </w:r>
        <w:r>
          <w:rPr>
            <w:noProof/>
            <w:webHidden/>
          </w:rPr>
          <w:fldChar w:fldCharType="begin"/>
        </w:r>
        <w:r w:rsidR="00E76B62">
          <w:rPr>
            <w:noProof/>
            <w:webHidden/>
          </w:rPr>
          <w:instrText xml:space="preserve"> PAGEREF _Toc310855652 \h </w:instrText>
        </w:r>
        <w:r>
          <w:rPr>
            <w:noProof/>
            <w:webHidden/>
          </w:rPr>
        </w:r>
        <w:r>
          <w:rPr>
            <w:noProof/>
            <w:webHidden/>
          </w:rPr>
          <w:fldChar w:fldCharType="separate"/>
        </w:r>
        <w:r w:rsidR="00622529">
          <w:rPr>
            <w:noProof/>
            <w:webHidden/>
          </w:rPr>
          <w:t>26</w:t>
        </w:r>
        <w:r>
          <w:rPr>
            <w:noProof/>
            <w:webHidden/>
          </w:rPr>
          <w:fldChar w:fldCharType="end"/>
        </w:r>
      </w:hyperlink>
    </w:p>
    <w:p w:rsidR="008C0907" w:rsidRDefault="00532BD7" w:rsidP="00732ED2">
      <w:pPr>
        <w:spacing w:beforeLines="40" w:afterLines="40" w:line="240" w:lineRule="auto"/>
        <w:rPr>
          <w:sz w:val="32"/>
          <w:szCs w:val="32"/>
          <w:lang w:val="fr-FR"/>
        </w:rPr>
      </w:pPr>
      <w:r>
        <w:rPr>
          <w:sz w:val="32"/>
          <w:szCs w:val="32"/>
          <w:lang w:val="fr-FR"/>
        </w:rPr>
        <w:fldChar w:fldCharType="end"/>
      </w:r>
    </w:p>
    <w:p w:rsidR="00327A01" w:rsidRDefault="00327A01">
      <w:pPr>
        <w:rPr>
          <w:sz w:val="32"/>
          <w:szCs w:val="32"/>
          <w:lang w:val="fr-FR"/>
        </w:rPr>
      </w:pPr>
      <w:r>
        <w:rPr>
          <w:sz w:val="32"/>
          <w:szCs w:val="32"/>
          <w:lang w:val="fr-FR"/>
        </w:rPr>
        <w:br w:type="page"/>
      </w:r>
    </w:p>
    <w:p w:rsidR="008C0907" w:rsidRDefault="008C0907" w:rsidP="008C0907">
      <w:pPr>
        <w:spacing w:before="0" w:after="0" w:line="240" w:lineRule="auto"/>
        <w:rPr>
          <w:sz w:val="32"/>
          <w:szCs w:val="32"/>
          <w:lang w:val="fr-FR"/>
        </w:rPr>
      </w:pPr>
    </w:p>
    <w:p w:rsidR="008C0907" w:rsidRDefault="008C0907" w:rsidP="008C0907">
      <w:pPr>
        <w:spacing w:before="0" w:after="0" w:line="240" w:lineRule="auto"/>
        <w:rPr>
          <w:sz w:val="32"/>
          <w:szCs w:val="32"/>
          <w:lang w:val="fr-FR"/>
        </w:rPr>
      </w:pPr>
    </w:p>
    <w:p w:rsidR="008C0907" w:rsidRDefault="008C0907" w:rsidP="008C0907">
      <w:pPr>
        <w:spacing w:before="0" w:after="0" w:line="240" w:lineRule="auto"/>
        <w:rPr>
          <w:sz w:val="32"/>
          <w:szCs w:val="32"/>
          <w:lang w:val="fr-FR"/>
        </w:rPr>
        <w:sectPr w:rsidR="008C0907" w:rsidSect="00E333CA">
          <w:pgSz w:w="11906" w:h="16838"/>
          <w:pgMar w:top="1417" w:right="1417" w:bottom="1417" w:left="1417" w:header="708" w:footer="708" w:gutter="0"/>
          <w:cols w:space="708"/>
          <w:docGrid w:linePitch="360"/>
        </w:sectPr>
      </w:pPr>
    </w:p>
    <w:p w:rsidR="008C0907" w:rsidRPr="00C8316D" w:rsidRDefault="008C0907">
      <w:pPr>
        <w:rPr>
          <w:sz w:val="32"/>
          <w:szCs w:val="32"/>
          <w:lang w:val="fr-FR"/>
        </w:rPr>
      </w:pPr>
    </w:p>
    <w:p w:rsidR="00707674" w:rsidRPr="00C8316D" w:rsidRDefault="00707674" w:rsidP="00ED7423">
      <w:pPr>
        <w:pStyle w:val="Titre1"/>
        <w:rPr>
          <w:lang w:val="fr-FR"/>
        </w:rPr>
      </w:pPr>
      <w:bookmarkStart w:id="0" w:name="_Toc310855626"/>
      <w:r w:rsidRPr="00C8316D">
        <w:rPr>
          <w:lang w:val="fr-FR"/>
        </w:rPr>
        <w:t>1 – Positionnement de l’étude</w:t>
      </w:r>
      <w:bookmarkEnd w:id="0"/>
    </w:p>
    <w:p w:rsidR="00797465" w:rsidRPr="00C8316D" w:rsidRDefault="00797465" w:rsidP="00797465">
      <w:pPr>
        <w:rPr>
          <w:lang w:val="fr-FR"/>
        </w:rPr>
      </w:pPr>
    </w:p>
    <w:p w:rsidR="00803BFC" w:rsidRPr="00C8316D" w:rsidRDefault="00803BFC" w:rsidP="00803BFC">
      <w:pPr>
        <w:pStyle w:val="Titre2"/>
        <w:rPr>
          <w:lang w:val="fr-FR"/>
        </w:rPr>
      </w:pPr>
      <w:bookmarkStart w:id="1" w:name="_Toc310855627"/>
      <w:r w:rsidRPr="00C8316D">
        <w:rPr>
          <w:lang w:val="fr-FR"/>
        </w:rPr>
        <w:t>1.1 Contexte</w:t>
      </w:r>
      <w:bookmarkEnd w:id="1"/>
    </w:p>
    <w:p w:rsidR="006865D4" w:rsidRPr="00C8316D" w:rsidRDefault="001B7DB1" w:rsidP="006865D4">
      <w:pPr>
        <w:spacing w:before="120"/>
        <w:jc w:val="both"/>
        <w:rPr>
          <w:rFonts w:cstheme="minorHAnsi"/>
          <w:lang w:val="fr-FR"/>
        </w:rPr>
      </w:pPr>
      <w:r w:rsidRPr="00C8316D">
        <w:rPr>
          <w:rFonts w:cstheme="minorHAnsi"/>
          <w:lang w:val="fr-FR"/>
        </w:rPr>
        <w:t xml:space="preserve">Le Centre Energétique et Procédés-Paris effectue depuis 1998, pour le compte de l'ADEME, et en communiquant ses résultats chaque année au CITEPA, les inventaires des émissions de </w:t>
      </w:r>
      <w:r w:rsidR="00DD4473" w:rsidRPr="00C8316D">
        <w:rPr>
          <w:rFonts w:cstheme="minorHAnsi"/>
          <w:lang w:val="fr-FR"/>
        </w:rPr>
        <w:t>fluides frigorigènes</w:t>
      </w:r>
      <w:r w:rsidRPr="00C8316D">
        <w:rPr>
          <w:rFonts w:cstheme="minorHAnsi"/>
          <w:lang w:val="fr-FR"/>
        </w:rPr>
        <w:t xml:space="preserve"> provenant des systèmes de réfrigération et de climatisation. </w:t>
      </w:r>
      <w:r w:rsidR="009A5C73" w:rsidRPr="00C8316D">
        <w:rPr>
          <w:rFonts w:cstheme="minorHAnsi"/>
          <w:lang w:val="fr-FR"/>
        </w:rPr>
        <w:t>Jusqu’à présent, l</w:t>
      </w:r>
      <w:r w:rsidRPr="00C8316D">
        <w:rPr>
          <w:rFonts w:cstheme="minorHAnsi"/>
          <w:iCs/>
          <w:lang w:val="fr-FR"/>
        </w:rPr>
        <w:t>es travaux du CEP MINES-ParisTech port</w:t>
      </w:r>
      <w:r w:rsidR="009A5C73" w:rsidRPr="00C8316D">
        <w:rPr>
          <w:rFonts w:cstheme="minorHAnsi"/>
          <w:iCs/>
          <w:lang w:val="fr-FR"/>
        </w:rPr>
        <w:t>ai</w:t>
      </w:r>
      <w:r w:rsidRPr="00C8316D">
        <w:rPr>
          <w:rFonts w:cstheme="minorHAnsi"/>
          <w:iCs/>
          <w:lang w:val="fr-FR"/>
        </w:rPr>
        <w:t>ent sur la Métropole et n’inclu</w:t>
      </w:r>
      <w:r w:rsidR="009A5C73" w:rsidRPr="00C8316D">
        <w:rPr>
          <w:rFonts w:cstheme="minorHAnsi"/>
          <w:iCs/>
          <w:lang w:val="fr-FR"/>
        </w:rPr>
        <w:t>ai</w:t>
      </w:r>
      <w:r w:rsidRPr="00C8316D">
        <w:rPr>
          <w:rFonts w:cstheme="minorHAnsi"/>
          <w:iCs/>
          <w:lang w:val="fr-FR"/>
        </w:rPr>
        <w:t>ent pas l’Outre-Mer.</w:t>
      </w:r>
      <w:r w:rsidR="006865D4" w:rsidRPr="00C8316D">
        <w:rPr>
          <w:rFonts w:cstheme="minorHAnsi"/>
          <w:iCs/>
          <w:lang w:val="fr-FR"/>
        </w:rPr>
        <w:t xml:space="preserve"> L</w:t>
      </w:r>
      <w:r w:rsidR="009A5C73" w:rsidRPr="00C8316D">
        <w:rPr>
          <w:rFonts w:cstheme="minorHAnsi"/>
          <w:lang w:val="fr-FR"/>
        </w:rPr>
        <w:t>e CITEPA utilisait l</w:t>
      </w:r>
      <w:r w:rsidR="006865D4" w:rsidRPr="00C8316D">
        <w:rPr>
          <w:rFonts w:cstheme="minorHAnsi"/>
          <w:lang w:val="fr-FR"/>
        </w:rPr>
        <w:t xml:space="preserve">es résultats </w:t>
      </w:r>
      <w:r w:rsidR="0038765E">
        <w:rPr>
          <w:rFonts w:cstheme="minorHAnsi"/>
          <w:lang w:val="fr-FR"/>
        </w:rPr>
        <w:t>de</w:t>
      </w:r>
      <w:r w:rsidR="006865D4" w:rsidRPr="00C8316D">
        <w:rPr>
          <w:rFonts w:cstheme="minorHAnsi"/>
          <w:lang w:val="fr-FR"/>
        </w:rPr>
        <w:t xml:space="preserve"> la Métropole pour calculer globalement les émissions dans les territoires d’Outre-mer à l’aide d’indicateurs </w:t>
      </w:r>
      <w:r w:rsidR="00DD4473" w:rsidRPr="00C8316D">
        <w:rPr>
          <w:rFonts w:cstheme="minorHAnsi"/>
          <w:lang w:val="fr-FR"/>
        </w:rPr>
        <w:t>tels que</w:t>
      </w:r>
      <w:r w:rsidR="006865D4" w:rsidRPr="00C8316D">
        <w:rPr>
          <w:rFonts w:cstheme="minorHAnsi"/>
          <w:lang w:val="fr-FR"/>
        </w:rPr>
        <w:t xml:space="preserve"> la population</w:t>
      </w:r>
      <w:r w:rsidR="0038765E">
        <w:rPr>
          <w:rFonts w:cstheme="minorHAnsi"/>
          <w:lang w:val="fr-FR"/>
        </w:rPr>
        <w:t xml:space="preserve"> et le PIB</w:t>
      </w:r>
      <w:r w:rsidR="006865D4" w:rsidRPr="00C8316D">
        <w:rPr>
          <w:rFonts w:cstheme="minorHAnsi"/>
          <w:lang w:val="fr-FR"/>
        </w:rPr>
        <w:t>.</w:t>
      </w:r>
    </w:p>
    <w:p w:rsidR="007D369C" w:rsidRPr="00C8316D" w:rsidRDefault="007D369C" w:rsidP="007D369C">
      <w:pPr>
        <w:jc w:val="both"/>
        <w:rPr>
          <w:rFonts w:cstheme="minorHAnsi"/>
          <w:lang w:val="fr-FR"/>
        </w:rPr>
      </w:pPr>
      <w:r w:rsidRPr="00C8316D">
        <w:rPr>
          <w:rFonts w:cstheme="minorHAnsi"/>
          <w:lang w:val="fr-FR"/>
        </w:rPr>
        <w:t>L’objectif nouvellement défini du SNIEPA</w:t>
      </w:r>
      <w:r w:rsidR="006865D4" w:rsidRPr="00C8316D">
        <w:rPr>
          <w:rFonts w:cstheme="minorHAnsi"/>
          <w:lang w:val="fr-FR"/>
        </w:rPr>
        <w:t xml:space="preserve"> (</w:t>
      </w:r>
      <w:r w:rsidR="006865D4" w:rsidRPr="00C8316D">
        <w:rPr>
          <w:rFonts w:cstheme="minorHAnsi"/>
          <w:iCs/>
          <w:lang w:val="fr-FR"/>
        </w:rPr>
        <w:t>Système National d’Inventaires d’Emissions de Polluants Atmosphériques)</w:t>
      </w:r>
      <w:r w:rsidRPr="00C8316D">
        <w:rPr>
          <w:rFonts w:cstheme="minorHAnsi"/>
          <w:lang w:val="fr-FR"/>
        </w:rPr>
        <w:t xml:space="preserve"> étant de produire des inventaires d’émissions en distinguant les différents territoires, il </w:t>
      </w:r>
      <w:r w:rsidR="006865D4" w:rsidRPr="00C8316D">
        <w:rPr>
          <w:rFonts w:cstheme="minorHAnsi"/>
          <w:lang w:val="fr-FR"/>
        </w:rPr>
        <w:t xml:space="preserve">est nécessaire </w:t>
      </w:r>
      <w:r w:rsidRPr="00C8316D">
        <w:rPr>
          <w:rFonts w:cstheme="minorHAnsi"/>
          <w:lang w:val="fr-FR"/>
        </w:rPr>
        <w:t>de développer une méthodologie permettant, pour chaque territoire, d’assurer un rapportage des émissions de manière distincte</w:t>
      </w:r>
      <w:r w:rsidR="00DD4473" w:rsidRPr="00C8316D">
        <w:rPr>
          <w:rFonts w:cstheme="minorHAnsi"/>
          <w:lang w:val="fr-FR"/>
        </w:rPr>
        <w:t xml:space="preserve"> tout en prenant en compte les spécificités des territoires (types de gaz fluorés utilisés, taux d’équipements, traitement des fluides en fin de vie, etc…)</w:t>
      </w:r>
      <w:r w:rsidRPr="00C8316D">
        <w:rPr>
          <w:rFonts w:cstheme="minorHAnsi"/>
          <w:lang w:val="fr-FR"/>
        </w:rPr>
        <w:t>.</w:t>
      </w:r>
      <w:r w:rsidR="00DD4473" w:rsidRPr="00C8316D">
        <w:rPr>
          <w:rFonts w:cstheme="minorHAnsi"/>
          <w:lang w:val="fr-FR"/>
        </w:rPr>
        <w:t xml:space="preserve"> L</w:t>
      </w:r>
      <w:r w:rsidRPr="00C8316D">
        <w:rPr>
          <w:rFonts w:cstheme="minorHAnsi"/>
          <w:lang w:val="fr-FR"/>
        </w:rPr>
        <w:t xml:space="preserve">es estimations </w:t>
      </w:r>
      <w:r w:rsidR="00DD4473" w:rsidRPr="00C8316D">
        <w:rPr>
          <w:rFonts w:cstheme="minorHAnsi"/>
          <w:lang w:val="fr-FR"/>
        </w:rPr>
        <w:t xml:space="preserve">par territoire </w:t>
      </w:r>
      <w:r w:rsidRPr="00C8316D">
        <w:rPr>
          <w:rFonts w:cstheme="minorHAnsi"/>
          <w:lang w:val="fr-FR"/>
        </w:rPr>
        <w:t>seront intégrées au système d’inventaire</w:t>
      </w:r>
      <w:r w:rsidR="0038765E">
        <w:rPr>
          <w:rFonts w:cstheme="minorHAnsi"/>
          <w:lang w:val="fr-FR"/>
        </w:rPr>
        <w:t>s</w:t>
      </w:r>
      <w:r w:rsidRPr="00C8316D">
        <w:rPr>
          <w:rFonts w:cstheme="minorHAnsi"/>
          <w:lang w:val="fr-FR"/>
        </w:rPr>
        <w:t xml:space="preserve"> au même titre que les autres données et seront rapportées au MEDDTL par le CITEPA selon les formats CCNUCC et Plan Climat.</w:t>
      </w:r>
    </w:p>
    <w:p w:rsidR="006865D4" w:rsidRPr="00C8316D" w:rsidRDefault="007D369C" w:rsidP="00C3300B">
      <w:pPr>
        <w:spacing w:before="60"/>
        <w:jc w:val="both"/>
        <w:rPr>
          <w:rFonts w:cstheme="minorHAnsi"/>
          <w:lang w:val="fr-FR"/>
        </w:rPr>
      </w:pPr>
      <w:r w:rsidRPr="00C8316D">
        <w:rPr>
          <w:rFonts w:cstheme="minorHAnsi"/>
          <w:lang w:val="fr-FR"/>
        </w:rPr>
        <w:t xml:space="preserve">Ce rapport présente </w:t>
      </w:r>
      <w:r w:rsidR="00DD4473" w:rsidRPr="00C8316D">
        <w:rPr>
          <w:rFonts w:cstheme="minorHAnsi"/>
          <w:lang w:val="fr-FR"/>
        </w:rPr>
        <w:t xml:space="preserve">la méthode adoptée pour réaliser </w:t>
      </w:r>
      <w:r w:rsidRPr="00C8316D">
        <w:rPr>
          <w:rFonts w:cstheme="minorHAnsi"/>
          <w:lang w:val="fr-FR"/>
        </w:rPr>
        <w:t>une première estimation de l’</w:t>
      </w:r>
      <w:r w:rsidR="00C3300B" w:rsidRPr="00C8316D">
        <w:rPr>
          <w:rFonts w:cstheme="minorHAnsi"/>
          <w:lang w:val="fr-FR"/>
        </w:rPr>
        <w:t>inventaire des émissions de fluides frigorigènes, prop</w:t>
      </w:r>
      <w:r w:rsidR="00DD4473" w:rsidRPr="00C8316D">
        <w:rPr>
          <w:rFonts w:cstheme="minorHAnsi"/>
          <w:lang w:val="fr-FR"/>
        </w:rPr>
        <w:t>re aux territoires d’Outre-mer et une analyse des résultats.</w:t>
      </w:r>
    </w:p>
    <w:p w:rsidR="00DD4473" w:rsidRPr="00C8316D" w:rsidRDefault="00DD4473" w:rsidP="00C3300B">
      <w:pPr>
        <w:spacing w:before="60"/>
        <w:jc w:val="both"/>
        <w:rPr>
          <w:rFonts w:cstheme="minorHAnsi"/>
          <w:lang w:val="fr-FR"/>
        </w:rPr>
      </w:pPr>
    </w:p>
    <w:p w:rsidR="00722401" w:rsidRPr="00C8316D" w:rsidRDefault="00803BFC" w:rsidP="00ED7423">
      <w:pPr>
        <w:pStyle w:val="Titre2"/>
        <w:rPr>
          <w:lang w:val="fr-FR"/>
        </w:rPr>
      </w:pPr>
      <w:bookmarkStart w:id="2" w:name="_Toc310855628"/>
      <w:r w:rsidRPr="00C8316D">
        <w:rPr>
          <w:lang w:val="fr-FR"/>
        </w:rPr>
        <w:t>1.2</w:t>
      </w:r>
      <w:r w:rsidR="00707674" w:rsidRPr="00C8316D">
        <w:rPr>
          <w:lang w:val="fr-FR"/>
        </w:rPr>
        <w:t xml:space="preserve"> </w:t>
      </w:r>
      <w:r w:rsidR="00722401" w:rsidRPr="00C8316D">
        <w:rPr>
          <w:lang w:val="fr-FR"/>
        </w:rPr>
        <w:t>Territoires couverts</w:t>
      </w:r>
      <w:bookmarkEnd w:id="2"/>
    </w:p>
    <w:p w:rsidR="00F1004F" w:rsidRPr="00C8316D" w:rsidRDefault="00140252" w:rsidP="00795158">
      <w:pPr>
        <w:pStyle w:val="Paragraphedeliste"/>
        <w:ind w:left="0"/>
        <w:jc w:val="both"/>
        <w:rPr>
          <w:lang w:val="fr-FR"/>
        </w:rPr>
      </w:pPr>
      <w:r w:rsidRPr="00C8316D">
        <w:rPr>
          <w:lang w:val="fr-FR"/>
        </w:rPr>
        <w:t>Etant donnés les besoins du C</w:t>
      </w:r>
      <w:r w:rsidR="00795158">
        <w:rPr>
          <w:lang w:val="fr-FR"/>
        </w:rPr>
        <w:t>ITEPA</w:t>
      </w:r>
      <w:r w:rsidRPr="00C8316D">
        <w:rPr>
          <w:lang w:val="fr-FR"/>
        </w:rPr>
        <w:t xml:space="preserve"> et le fait que les statistiques de la Guadeloupe incluent généralement celles de Saint Martin, 9 entités seront distinguées</w:t>
      </w:r>
      <w:r w:rsidR="00F1004F" w:rsidRPr="00C8316D">
        <w:rPr>
          <w:lang w:val="fr-FR"/>
        </w:rPr>
        <w:t xml:space="preserve"> dans cette étude</w:t>
      </w:r>
      <w:r w:rsidRPr="00C8316D">
        <w:rPr>
          <w:lang w:val="fr-FR"/>
        </w:rPr>
        <w:t>, la Guadeloupe, Saint Martin et Saint Barthélémy étant regroupés.</w:t>
      </w:r>
      <w:r w:rsidR="00F1004F" w:rsidRPr="00C8316D">
        <w:rPr>
          <w:lang w:val="fr-FR"/>
        </w:rPr>
        <w:t xml:space="preserve"> Les résultats seront donc présentés pour les 9 territoires suivant</w:t>
      </w:r>
      <w:r w:rsidR="00795158">
        <w:rPr>
          <w:lang w:val="fr-FR"/>
        </w:rPr>
        <w:t>s</w:t>
      </w:r>
      <w:r w:rsidR="00F1004F" w:rsidRPr="00C8316D">
        <w:rPr>
          <w:lang w:val="fr-FR"/>
        </w:rPr>
        <w:t> :</w:t>
      </w:r>
    </w:p>
    <w:p w:rsidR="00F1004F" w:rsidRPr="00C8316D" w:rsidRDefault="00F1004F" w:rsidP="00F1004F">
      <w:pPr>
        <w:pStyle w:val="Paragraphedeliste"/>
        <w:numPr>
          <w:ilvl w:val="0"/>
          <w:numId w:val="4"/>
        </w:numPr>
        <w:ind w:left="435"/>
        <w:jc w:val="both"/>
        <w:rPr>
          <w:rFonts w:cs="Arial"/>
          <w:lang w:val="fr-FR"/>
        </w:rPr>
      </w:pPr>
      <w:r w:rsidRPr="00C8316D">
        <w:rPr>
          <w:rFonts w:cs="Arial"/>
          <w:lang w:val="fr-FR"/>
        </w:rPr>
        <w:t>Guadeloupe, incluant Saint Martin et Saint Barthélémy,</w:t>
      </w:r>
    </w:p>
    <w:p w:rsidR="00F1004F" w:rsidRPr="00C8316D" w:rsidRDefault="00F1004F" w:rsidP="00F1004F">
      <w:pPr>
        <w:pStyle w:val="Paragraphedeliste"/>
        <w:numPr>
          <w:ilvl w:val="0"/>
          <w:numId w:val="4"/>
        </w:numPr>
        <w:ind w:left="435"/>
        <w:jc w:val="both"/>
        <w:rPr>
          <w:rFonts w:cs="Arial"/>
          <w:lang w:val="fr-FR"/>
        </w:rPr>
      </w:pPr>
      <w:r w:rsidRPr="00C8316D">
        <w:rPr>
          <w:rFonts w:cs="Arial"/>
          <w:lang w:val="fr-FR"/>
        </w:rPr>
        <w:t xml:space="preserve">Guyane, </w:t>
      </w:r>
    </w:p>
    <w:p w:rsidR="00F1004F" w:rsidRPr="00C8316D" w:rsidRDefault="00F1004F" w:rsidP="00F1004F">
      <w:pPr>
        <w:pStyle w:val="Paragraphedeliste"/>
        <w:numPr>
          <w:ilvl w:val="0"/>
          <w:numId w:val="4"/>
        </w:numPr>
        <w:ind w:left="435"/>
        <w:jc w:val="both"/>
        <w:rPr>
          <w:rFonts w:cs="Arial"/>
          <w:lang w:val="fr-FR"/>
        </w:rPr>
      </w:pPr>
      <w:r w:rsidRPr="00C8316D">
        <w:rPr>
          <w:rFonts w:cs="Arial"/>
          <w:lang w:val="fr-FR"/>
        </w:rPr>
        <w:t xml:space="preserve">Martinique, </w:t>
      </w:r>
    </w:p>
    <w:p w:rsidR="00F1004F" w:rsidRPr="00C8316D" w:rsidRDefault="00F1004F" w:rsidP="00F1004F">
      <w:pPr>
        <w:pStyle w:val="Paragraphedeliste"/>
        <w:numPr>
          <w:ilvl w:val="0"/>
          <w:numId w:val="4"/>
        </w:numPr>
        <w:ind w:left="435"/>
        <w:jc w:val="both"/>
        <w:rPr>
          <w:rFonts w:cs="Arial"/>
          <w:lang w:val="fr-FR"/>
        </w:rPr>
      </w:pPr>
      <w:r w:rsidRPr="00C8316D">
        <w:rPr>
          <w:rFonts w:cs="Arial"/>
          <w:lang w:val="fr-FR"/>
        </w:rPr>
        <w:t xml:space="preserve">Réunion, </w:t>
      </w:r>
    </w:p>
    <w:p w:rsidR="00F1004F" w:rsidRPr="00C8316D" w:rsidRDefault="00F1004F" w:rsidP="00F1004F">
      <w:pPr>
        <w:pStyle w:val="Paragraphedeliste"/>
        <w:numPr>
          <w:ilvl w:val="0"/>
          <w:numId w:val="4"/>
        </w:numPr>
        <w:ind w:left="435"/>
        <w:jc w:val="both"/>
        <w:rPr>
          <w:rFonts w:cs="Arial"/>
          <w:lang w:val="fr-FR"/>
        </w:rPr>
      </w:pPr>
      <w:r w:rsidRPr="00C8316D">
        <w:rPr>
          <w:rFonts w:cs="Arial"/>
          <w:lang w:val="fr-FR"/>
        </w:rPr>
        <w:t xml:space="preserve">Saint-Pierre et Miquelon, </w:t>
      </w:r>
    </w:p>
    <w:p w:rsidR="00F1004F" w:rsidRPr="00C8316D" w:rsidRDefault="00F1004F" w:rsidP="00F1004F">
      <w:pPr>
        <w:pStyle w:val="Paragraphedeliste"/>
        <w:numPr>
          <w:ilvl w:val="0"/>
          <w:numId w:val="4"/>
        </w:numPr>
        <w:ind w:left="435"/>
        <w:jc w:val="both"/>
        <w:rPr>
          <w:rFonts w:cs="Arial"/>
          <w:lang w:val="fr-FR"/>
        </w:rPr>
      </w:pPr>
      <w:r w:rsidRPr="00C8316D">
        <w:rPr>
          <w:rFonts w:cs="Arial"/>
          <w:lang w:val="fr-FR"/>
        </w:rPr>
        <w:t xml:space="preserve">Wallis et Futuna, </w:t>
      </w:r>
    </w:p>
    <w:p w:rsidR="00F1004F" w:rsidRPr="00C8316D" w:rsidRDefault="00F1004F" w:rsidP="00F1004F">
      <w:pPr>
        <w:pStyle w:val="Paragraphedeliste"/>
        <w:numPr>
          <w:ilvl w:val="0"/>
          <w:numId w:val="4"/>
        </w:numPr>
        <w:ind w:left="435"/>
        <w:jc w:val="both"/>
        <w:rPr>
          <w:rFonts w:cs="Arial"/>
          <w:lang w:val="fr-FR"/>
        </w:rPr>
      </w:pPr>
      <w:r w:rsidRPr="00C8316D">
        <w:rPr>
          <w:rFonts w:cs="Arial"/>
          <w:lang w:val="fr-FR"/>
        </w:rPr>
        <w:t xml:space="preserve">Mayotte, </w:t>
      </w:r>
    </w:p>
    <w:p w:rsidR="00F1004F" w:rsidRPr="00C8316D" w:rsidRDefault="00F1004F" w:rsidP="00F1004F">
      <w:pPr>
        <w:pStyle w:val="Paragraphedeliste"/>
        <w:numPr>
          <w:ilvl w:val="0"/>
          <w:numId w:val="4"/>
        </w:numPr>
        <w:ind w:left="435"/>
        <w:jc w:val="both"/>
        <w:rPr>
          <w:rFonts w:cs="Arial"/>
          <w:lang w:val="fr-FR"/>
        </w:rPr>
      </w:pPr>
      <w:r w:rsidRPr="00C8316D">
        <w:rPr>
          <w:rFonts w:cs="Arial"/>
          <w:lang w:val="fr-FR"/>
        </w:rPr>
        <w:t xml:space="preserve">Polynésie Française, </w:t>
      </w:r>
    </w:p>
    <w:p w:rsidR="00F1004F" w:rsidRPr="00C8316D" w:rsidRDefault="00F1004F" w:rsidP="00F1004F">
      <w:pPr>
        <w:pStyle w:val="Paragraphedeliste"/>
        <w:numPr>
          <w:ilvl w:val="0"/>
          <w:numId w:val="4"/>
        </w:numPr>
        <w:ind w:left="435"/>
        <w:jc w:val="both"/>
        <w:rPr>
          <w:rFonts w:cs="Arial"/>
          <w:lang w:val="fr-FR"/>
        </w:rPr>
      </w:pPr>
      <w:r w:rsidRPr="00C8316D">
        <w:rPr>
          <w:rFonts w:cs="Arial"/>
          <w:lang w:val="fr-FR"/>
        </w:rPr>
        <w:t>Nouvelle-Calédonie.</w:t>
      </w:r>
    </w:p>
    <w:p w:rsidR="002879F2" w:rsidRPr="00C8316D" w:rsidRDefault="002879F2" w:rsidP="00140252">
      <w:pPr>
        <w:pStyle w:val="Paragraphedeliste"/>
        <w:ind w:left="435"/>
        <w:jc w:val="both"/>
        <w:rPr>
          <w:lang w:val="fr-FR"/>
        </w:rPr>
      </w:pPr>
    </w:p>
    <w:p w:rsidR="00F1004F" w:rsidRPr="00C8316D" w:rsidRDefault="00803BFC" w:rsidP="00ED7423">
      <w:pPr>
        <w:pStyle w:val="Titre2"/>
        <w:rPr>
          <w:lang w:val="fr-FR"/>
        </w:rPr>
      </w:pPr>
      <w:bookmarkStart w:id="3" w:name="_Toc310855629"/>
      <w:r w:rsidRPr="00C8316D">
        <w:rPr>
          <w:lang w:val="fr-FR"/>
        </w:rPr>
        <w:t>1.3</w:t>
      </w:r>
      <w:r w:rsidR="00ED7423" w:rsidRPr="00C8316D">
        <w:rPr>
          <w:lang w:val="fr-FR"/>
        </w:rPr>
        <w:t xml:space="preserve"> </w:t>
      </w:r>
      <w:r w:rsidR="00F1004F" w:rsidRPr="00C8316D">
        <w:rPr>
          <w:lang w:val="fr-FR"/>
        </w:rPr>
        <w:t>Réglementation</w:t>
      </w:r>
      <w:bookmarkEnd w:id="3"/>
    </w:p>
    <w:p w:rsidR="00F1004F" w:rsidRPr="00C8316D" w:rsidRDefault="00F1004F" w:rsidP="00795158">
      <w:pPr>
        <w:pStyle w:val="Paragraphedeliste"/>
        <w:ind w:left="0"/>
        <w:jc w:val="both"/>
        <w:rPr>
          <w:lang w:val="fr-FR"/>
        </w:rPr>
      </w:pPr>
      <w:r w:rsidRPr="00C8316D">
        <w:rPr>
          <w:lang w:val="fr-FR"/>
        </w:rPr>
        <w:t>Les neufs territoires ne sont pas assujet</w:t>
      </w:r>
      <w:r w:rsidR="005741C0" w:rsidRPr="00C8316D">
        <w:rPr>
          <w:lang w:val="fr-FR"/>
        </w:rPr>
        <w:t>t</w:t>
      </w:r>
      <w:r w:rsidRPr="00C8316D">
        <w:rPr>
          <w:lang w:val="fr-FR"/>
        </w:rPr>
        <w:t>is à la même réglementation. Selon S.</w:t>
      </w:r>
      <w:r w:rsidR="00795158">
        <w:rPr>
          <w:lang w:val="fr-FR"/>
        </w:rPr>
        <w:t xml:space="preserve"> </w:t>
      </w:r>
      <w:r w:rsidRPr="00C8316D">
        <w:rPr>
          <w:lang w:val="fr-FR"/>
        </w:rPr>
        <w:t>Just [JUS11] :</w:t>
      </w:r>
    </w:p>
    <w:p w:rsidR="00F1004F" w:rsidRPr="00C8316D" w:rsidRDefault="00795158" w:rsidP="00F1004F">
      <w:pPr>
        <w:pStyle w:val="Paragraphedeliste"/>
        <w:numPr>
          <w:ilvl w:val="0"/>
          <w:numId w:val="4"/>
        </w:numPr>
        <w:ind w:left="426" w:hanging="426"/>
        <w:jc w:val="both"/>
        <w:rPr>
          <w:lang w:val="fr-FR"/>
        </w:rPr>
      </w:pPr>
      <w:r>
        <w:rPr>
          <w:lang w:val="fr-FR"/>
        </w:rPr>
        <w:t>e</w:t>
      </w:r>
      <w:r w:rsidR="00F1004F" w:rsidRPr="00C8316D">
        <w:rPr>
          <w:lang w:val="fr-FR"/>
        </w:rPr>
        <w:t xml:space="preserve">n </w:t>
      </w:r>
      <w:r w:rsidR="005741C0" w:rsidRPr="00C8316D">
        <w:rPr>
          <w:lang w:val="fr-FR"/>
        </w:rPr>
        <w:t>Guyan</w:t>
      </w:r>
      <w:r w:rsidR="002879F2" w:rsidRPr="00C8316D">
        <w:rPr>
          <w:lang w:val="fr-FR"/>
        </w:rPr>
        <w:t xml:space="preserve">e, Guadeloupe, Martinique, </w:t>
      </w:r>
      <w:r w:rsidR="00F1004F" w:rsidRPr="00C8316D">
        <w:rPr>
          <w:lang w:val="fr-FR"/>
        </w:rPr>
        <w:t>à La Réunion, Saint Martin et à Mayotte l</w:t>
      </w:r>
      <w:r w:rsidR="002879F2" w:rsidRPr="00C8316D">
        <w:rPr>
          <w:lang w:val="fr-FR"/>
        </w:rPr>
        <w:t>a réglementation communautaire est applicable ainsi que la réglementation nationale</w:t>
      </w:r>
      <w:r w:rsidR="00F1004F" w:rsidRPr="00C8316D">
        <w:rPr>
          <w:lang w:val="fr-FR"/>
        </w:rPr>
        <w:t> ;</w:t>
      </w:r>
    </w:p>
    <w:p w:rsidR="00F1004F" w:rsidRPr="00C8316D" w:rsidRDefault="00795158" w:rsidP="00140252">
      <w:pPr>
        <w:pStyle w:val="Paragraphedeliste"/>
        <w:numPr>
          <w:ilvl w:val="0"/>
          <w:numId w:val="4"/>
        </w:numPr>
        <w:ind w:left="435"/>
        <w:jc w:val="both"/>
        <w:rPr>
          <w:lang w:val="fr-FR"/>
        </w:rPr>
      </w:pPr>
      <w:r>
        <w:rPr>
          <w:lang w:val="fr-FR"/>
        </w:rPr>
        <w:lastRenderedPageBreak/>
        <w:t>à</w:t>
      </w:r>
      <w:r w:rsidR="00F1004F" w:rsidRPr="00C8316D">
        <w:rPr>
          <w:lang w:val="fr-FR"/>
        </w:rPr>
        <w:t xml:space="preserve"> </w:t>
      </w:r>
      <w:r w:rsidR="002879F2" w:rsidRPr="00C8316D">
        <w:rPr>
          <w:lang w:val="fr-FR"/>
        </w:rPr>
        <w:t>Saint Ba</w:t>
      </w:r>
      <w:r w:rsidR="00F1004F" w:rsidRPr="00C8316D">
        <w:rPr>
          <w:lang w:val="fr-FR"/>
        </w:rPr>
        <w:t>rthélémy, l</w:t>
      </w:r>
      <w:r w:rsidR="002879F2" w:rsidRPr="00C8316D">
        <w:rPr>
          <w:lang w:val="fr-FR"/>
        </w:rPr>
        <w:t>a réglementation communautaire est applicable mais pas la réglementation nationale qui est postérieure au 23 février 2007</w:t>
      </w:r>
      <w:r w:rsidR="00F1004F" w:rsidRPr="00C8316D">
        <w:rPr>
          <w:lang w:val="fr-FR"/>
        </w:rPr>
        <w:t> ;</w:t>
      </w:r>
    </w:p>
    <w:p w:rsidR="002879F2" w:rsidRPr="00C8316D" w:rsidRDefault="00795158" w:rsidP="00140252">
      <w:pPr>
        <w:pStyle w:val="Paragraphedeliste"/>
        <w:numPr>
          <w:ilvl w:val="0"/>
          <w:numId w:val="4"/>
        </w:numPr>
        <w:ind w:left="435"/>
        <w:jc w:val="both"/>
        <w:rPr>
          <w:lang w:val="fr-FR"/>
        </w:rPr>
      </w:pPr>
      <w:r>
        <w:rPr>
          <w:lang w:val="fr-FR"/>
        </w:rPr>
        <w:t>e</w:t>
      </w:r>
      <w:r w:rsidR="00F1004F" w:rsidRPr="00C8316D">
        <w:rPr>
          <w:lang w:val="fr-FR"/>
        </w:rPr>
        <w:t xml:space="preserve">n </w:t>
      </w:r>
      <w:r w:rsidR="002879F2" w:rsidRPr="00C8316D">
        <w:rPr>
          <w:lang w:val="fr-FR"/>
        </w:rPr>
        <w:t xml:space="preserve">Nouvelle Calédonie, Polynésie Française, </w:t>
      </w:r>
      <w:r w:rsidR="00F1004F" w:rsidRPr="00C8316D">
        <w:rPr>
          <w:lang w:val="fr-FR"/>
        </w:rPr>
        <w:t xml:space="preserve">à </w:t>
      </w:r>
      <w:r w:rsidR="002879F2" w:rsidRPr="00C8316D">
        <w:rPr>
          <w:lang w:val="fr-FR"/>
        </w:rPr>
        <w:t>Wallis et Futuna</w:t>
      </w:r>
      <w:r w:rsidR="00F1004F" w:rsidRPr="00C8316D">
        <w:rPr>
          <w:lang w:val="fr-FR"/>
        </w:rPr>
        <w:t>, les territoires</w:t>
      </w:r>
      <w:r w:rsidR="002879F2" w:rsidRPr="00C8316D">
        <w:rPr>
          <w:lang w:val="fr-FR"/>
        </w:rPr>
        <w:t xml:space="preserve"> relèvent de la spécialité législative, les règlements communautaires et la réglementation nat</w:t>
      </w:r>
      <w:r>
        <w:rPr>
          <w:lang w:val="fr-FR"/>
        </w:rPr>
        <w:t>ionale n'y sont pas applicables ;</w:t>
      </w:r>
    </w:p>
    <w:p w:rsidR="002879F2" w:rsidRPr="00C8316D" w:rsidRDefault="00795158" w:rsidP="00140252">
      <w:pPr>
        <w:pStyle w:val="Paragraphedeliste"/>
        <w:numPr>
          <w:ilvl w:val="0"/>
          <w:numId w:val="4"/>
        </w:numPr>
        <w:ind w:left="435"/>
        <w:jc w:val="both"/>
        <w:rPr>
          <w:lang w:val="fr-FR"/>
        </w:rPr>
      </w:pPr>
      <w:r>
        <w:rPr>
          <w:lang w:val="fr-FR"/>
        </w:rPr>
        <w:t>à</w:t>
      </w:r>
      <w:r w:rsidR="00F1004F" w:rsidRPr="00C8316D">
        <w:rPr>
          <w:lang w:val="fr-FR"/>
        </w:rPr>
        <w:t xml:space="preserve"> Saint Pierre et Miquelon l</w:t>
      </w:r>
      <w:r w:rsidR="002879F2" w:rsidRPr="00C8316D">
        <w:rPr>
          <w:lang w:val="fr-FR"/>
        </w:rPr>
        <w:t xml:space="preserve">a réglementation communautaire </w:t>
      </w:r>
      <w:r w:rsidR="00F1004F" w:rsidRPr="00C8316D">
        <w:rPr>
          <w:lang w:val="fr-FR"/>
        </w:rPr>
        <w:t xml:space="preserve">n’est </w:t>
      </w:r>
      <w:r w:rsidR="002879F2" w:rsidRPr="00C8316D">
        <w:rPr>
          <w:lang w:val="fr-FR"/>
        </w:rPr>
        <w:t>pas applicable mais la réglementation nationale l'est.</w:t>
      </w:r>
    </w:p>
    <w:p w:rsidR="0007150A" w:rsidRPr="00C8316D" w:rsidRDefault="0007150A" w:rsidP="005741C0">
      <w:pPr>
        <w:pStyle w:val="Paragraphedeliste"/>
        <w:ind w:left="435"/>
        <w:jc w:val="both"/>
        <w:rPr>
          <w:lang w:val="fr-FR"/>
        </w:rPr>
      </w:pPr>
    </w:p>
    <w:p w:rsidR="0007150A" w:rsidRPr="00C8316D" w:rsidRDefault="00A43444" w:rsidP="0007150A">
      <w:pPr>
        <w:pStyle w:val="Titre2"/>
        <w:rPr>
          <w:lang w:val="fr-FR"/>
        </w:rPr>
      </w:pPr>
      <w:bookmarkStart w:id="4" w:name="_Toc310855630"/>
      <w:r>
        <w:rPr>
          <w:lang w:val="fr-FR"/>
        </w:rPr>
        <w:t>1.4</w:t>
      </w:r>
      <w:r w:rsidR="0007150A" w:rsidRPr="00C8316D">
        <w:rPr>
          <w:lang w:val="fr-FR"/>
        </w:rPr>
        <w:t xml:space="preserve"> Classement des territoires</w:t>
      </w:r>
      <w:bookmarkEnd w:id="4"/>
    </w:p>
    <w:p w:rsidR="0007150A" w:rsidRPr="00C8316D" w:rsidRDefault="0007150A" w:rsidP="0007150A">
      <w:pPr>
        <w:jc w:val="both"/>
        <w:rPr>
          <w:lang w:val="fr-FR"/>
        </w:rPr>
      </w:pPr>
      <w:r w:rsidRPr="00C8316D">
        <w:rPr>
          <w:lang w:val="fr-FR"/>
        </w:rPr>
        <w:t>Les caractéristiques économiques et réglementaires des territoires ont été comparées au tableau 1.</w:t>
      </w:r>
    </w:p>
    <w:p w:rsidR="0007150A" w:rsidRPr="00C8316D" w:rsidRDefault="0007150A" w:rsidP="007A34EA">
      <w:pPr>
        <w:pStyle w:val="Sous-titre"/>
        <w:spacing w:after="100"/>
        <w:jc w:val="center"/>
        <w:rPr>
          <w:sz w:val="22"/>
          <w:szCs w:val="22"/>
          <w:lang w:val="fr-FR"/>
        </w:rPr>
      </w:pPr>
      <w:r w:rsidRPr="00C8316D">
        <w:rPr>
          <w:lang w:val="fr-FR"/>
        </w:rPr>
        <w:t>Tableau 1 – Caractéristiques des territoires</w:t>
      </w:r>
    </w:p>
    <w:tbl>
      <w:tblPr>
        <w:tblW w:w="9147" w:type="dxa"/>
        <w:tblInd w:w="65" w:type="dxa"/>
        <w:tblCellMar>
          <w:left w:w="70" w:type="dxa"/>
          <w:right w:w="70" w:type="dxa"/>
        </w:tblCellMar>
        <w:tblLook w:val="04A0"/>
      </w:tblPr>
      <w:tblGrid>
        <w:gridCol w:w="1706"/>
        <w:gridCol w:w="1134"/>
        <w:gridCol w:w="1276"/>
        <w:gridCol w:w="2410"/>
        <w:gridCol w:w="2621"/>
      </w:tblGrid>
      <w:tr w:rsidR="0007150A" w:rsidRPr="00C8316D" w:rsidTr="000570D5">
        <w:trPr>
          <w:trHeight w:val="465"/>
        </w:trPr>
        <w:tc>
          <w:tcPr>
            <w:tcW w:w="1706" w:type="dxa"/>
            <w:tcBorders>
              <w:top w:val="single" w:sz="4" w:space="0" w:color="auto"/>
              <w:left w:val="single" w:sz="4" w:space="0" w:color="auto"/>
              <w:bottom w:val="single" w:sz="4" w:space="0" w:color="auto"/>
              <w:right w:val="single" w:sz="4" w:space="0" w:color="auto"/>
            </w:tcBorders>
            <w:shd w:val="clear" w:color="000000" w:fill="8DB3E2"/>
            <w:vAlign w:val="center"/>
            <w:hideMark/>
          </w:tcPr>
          <w:p w:rsidR="0007150A" w:rsidRPr="00C8316D" w:rsidRDefault="0007150A" w:rsidP="007A34EA">
            <w:pPr>
              <w:spacing w:before="0" w:after="0"/>
              <w:jc w:val="center"/>
              <w:rPr>
                <w:rFonts w:cs="Arial"/>
                <w:color w:val="FFFFFF"/>
                <w:sz w:val="18"/>
                <w:szCs w:val="18"/>
                <w:lang w:val="fr-FR"/>
              </w:rPr>
            </w:pPr>
            <w:r w:rsidRPr="00C8316D">
              <w:rPr>
                <w:rFonts w:cs="Arial"/>
                <w:color w:val="FFFFFF"/>
                <w:sz w:val="18"/>
                <w:szCs w:val="18"/>
                <w:lang w:val="fr-FR"/>
              </w:rPr>
              <w:t>Territoire</w:t>
            </w:r>
          </w:p>
        </w:tc>
        <w:tc>
          <w:tcPr>
            <w:tcW w:w="1134" w:type="dxa"/>
            <w:tcBorders>
              <w:top w:val="single" w:sz="4" w:space="0" w:color="auto"/>
              <w:left w:val="single" w:sz="4" w:space="0" w:color="auto"/>
              <w:bottom w:val="single" w:sz="4" w:space="0" w:color="auto"/>
              <w:right w:val="single" w:sz="4" w:space="0" w:color="auto"/>
            </w:tcBorders>
            <w:shd w:val="clear" w:color="000000" w:fill="8DB3E2"/>
            <w:vAlign w:val="center"/>
          </w:tcPr>
          <w:p w:rsidR="0007150A" w:rsidRPr="00C8316D" w:rsidRDefault="0007150A" w:rsidP="007A34EA">
            <w:pPr>
              <w:spacing w:before="0" w:after="0"/>
              <w:jc w:val="center"/>
              <w:rPr>
                <w:rFonts w:cs="Arial"/>
                <w:color w:val="FFFFFF"/>
                <w:sz w:val="18"/>
                <w:szCs w:val="18"/>
                <w:lang w:val="fr-FR"/>
              </w:rPr>
            </w:pPr>
            <w:r w:rsidRPr="00C8316D">
              <w:rPr>
                <w:rFonts w:cs="Arial"/>
                <w:color w:val="FFFFFF"/>
                <w:sz w:val="18"/>
                <w:szCs w:val="18"/>
                <w:lang w:val="fr-FR"/>
              </w:rPr>
              <w:t>Périmètre / statut " UE "</w:t>
            </w:r>
          </w:p>
        </w:tc>
        <w:tc>
          <w:tcPr>
            <w:tcW w:w="1276" w:type="dxa"/>
            <w:tcBorders>
              <w:top w:val="single" w:sz="4" w:space="0" w:color="auto"/>
              <w:left w:val="single" w:sz="4" w:space="0" w:color="auto"/>
              <w:bottom w:val="single" w:sz="4" w:space="0" w:color="auto"/>
              <w:right w:val="single" w:sz="4" w:space="0" w:color="auto"/>
            </w:tcBorders>
            <w:shd w:val="clear" w:color="000000" w:fill="8DB3E2"/>
            <w:vAlign w:val="center"/>
          </w:tcPr>
          <w:p w:rsidR="0007150A" w:rsidRPr="00C8316D" w:rsidRDefault="0007150A" w:rsidP="007A34EA">
            <w:pPr>
              <w:spacing w:before="0" w:after="0"/>
              <w:jc w:val="center"/>
              <w:rPr>
                <w:rFonts w:cs="Arial"/>
                <w:color w:val="FFFFFF"/>
                <w:sz w:val="18"/>
                <w:szCs w:val="18"/>
                <w:lang w:val="fr-FR"/>
              </w:rPr>
            </w:pPr>
            <w:r w:rsidRPr="00C8316D">
              <w:rPr>
                <w:rFonts w:cs="Arial"/>
                <w:color w:val="FFFFFF"/>
                <w:sz w:val="18"/>
                <w:szCs w:val="18"/>
                <w:lang w:val="fr-FR"/>
              </w:rPr>
              <w:t>PIB (€/hab)</w:t>
            </w:r>
          </w:p>
        </w:tc>
        <w:tc>
          <w:tcPr>
            <w:tcW w:w="2410" w:type="dxa"/>
            <w:tcBorders>
              <w:top w:val="single" w:sz="4" w:space="0" w:color="auto"/>
              <w:left w:val="single" w:sz="4" w:space="0" w:color="auto"/>
              <w:bottom w:val="single" w:sz="4" w:space="0" w:color="auto"/>
              <w:right w:val="single" w:sz="4" w:space="0" w:color="auto"/>
            </w:tcBorders>
            <w:shd w:val="clear" w:color="000000" w:fill="8DB3E2"/>
            <w:vAlign w:val="center"/>
          </w:tcPr>
          <w:p w:rsidR="0007150A" w:rsidRPr="00C8316D" w:rsidRDefault="0007150A" w:rsidP="007A34EA">
            <w:pPr>
              <w:spacing w:before="0" w:after="0"/>
              <w:jc w:val="center"/>
              <w:rPr>
                <w:rFonts w:cs="Arial"/>
                <w:color w:val="FFFFFF"/>
                <w:sz w:val="18"/>
                <w:szCs w:val="18"/>
                <w:lang w:val="fr-FR"/>
              </w:rPr>
            </w:pPr>
            <w:r w:rsidRPr="00C8316D">
              <w:rPr>
                <w:rFonts w:cs="Arial"/>
                <w:color w:val="FFFFFF"/>
                <w:sz w:val="18"/>
                <w:szCs w:val="18"/>
                <w:lang w:val="fr-FR"/>
              </w:rPr>
              <w:t>Localisation</w:t>
            </w:r>
          </w:p>
        </w:tc>
        <w:tc>
          <w:tcPr>
            <w:tcW w:w="2621" w:type="dxa"/>
            <w:tcBorders>
              <w:top w:val="single" w:sz="4" w:space="0" w:color="auto"/>
              <w:left w:val="single" w:sz="4" w:space="0" w:color="auto"/>
              <w:bottom w:val="single" w:sz="4" w:space="0" w:color="auto"/>
              <w:right w:val="single" w:sz="4" w:space="0" w:color="auto"/>
            </w:tcBorders>
            <w:shd w:val="clear" w:color="000000" w:fill="8DB3E2"/>
            <w:vAlign w:val="center"/>
          </w:tcPr>
          <w:p w:rsidR="0007150A" w:rsidRPr="00C8316D" w:rsidRDefault="0007150A" w:rsidP="007A34EA">
            <w:pPr>
              <w:spacing w:before="0" w:after="0"/>
              <w:jc w:val="center"/>
              <w:rPr>
                <w:rFonts w:cs="Arial"/>
                <w:color w:val="FFFFFF"/>
                <w:sz w:val="18"/>
                <w:szCs w:val="18"/>
                <w:lang w:val="fr-FR"/>
              </w:rPr>
            </w:pPr>
            <w:r w:rsidRPr="00C8316D">
              <w:rPr>
                <w:rFonts w:cs="Arial"/>
                <w:color w:val="FFFFFF"/>
                <w:sz w:val="18"/>
                <w:szCs w:val="18"/>
                <w:lang w:val="fr-FR"/>
              </w:rPr>
              <w:t>Remarque</w:t>
            </w:r>
          </w:p>
        </w:tc>
      </w:tr>
      <w:tr w:rsidR="0007150A" w:rsidRPr="00C8316D" w:rsidTr="000570D5">
        <w:trPr>
          <w:trHeight w:val="228"/>
        </w:trPr>
        <w:tc>
          <w:tcPr>
            <w:tcW w:w="1706"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Guadeloupe</w:t>
            </w:r>
          </w:p>
        </w:tc>
        <w:tc>
          <w:tcPr>
            <w:tcW w:w="1134" w:type="dxa"/>
            <w:tcBorders>
              <w:top w:val="single" w:sz="4" w:space="0" w:color="auto"/>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incluse</w:t>
            </w:r>
          </w:p>
        </w:tc>
        <w:tc>
          <w:tcPr>
            <w:tcW w:w="1276" w:type="dxa"/>
            <w:tcBorders>
              <w:top w:val="single" w:sz="4" w:space="0" w:color="auto"/>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17 587 en 2009</w:t>
            </w:r>
          </w:p>
        </w:tc>
        <w:tc>
          <w:tcPr>
            <w:tcW w:w="2410" w:type="dxa"/>
            <w:tcBorders>
              <w:top w:val="single" w:sz="4" w:space="0" w:color="auto"/>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color w:val="000000" w:themeColor="text1"/>
                <w:sz w:val="18"/>
                <w:szCs w:val="18"/>
                <w:lang w:val="fr-FR"/>
              </w:rPr>
            </w:pPr>
            <w:r w:rsidRPr="00C8316D">
              <w:rPr>
                <w:rFonts w:cs="Arial"/>
                <w:color w:val="000000" w:themeColor="text1"/>
                <w:sz w:val="18"/>
                <w:szCs w:val="18"/>
                <w:lang w:val="fr-FR"/>
              </w:rPr>
              <w:t>100 km Martinique</w:t>
            </w:r>
          </w:p>
          <w:p w:rsidR="0007150A" w:rsidRPr="00C8316D" w:rsidRDefault="0007150A" w:rsidP="007A34EA">
            <w:pPr>
              <w:spacing w:before="0" w:after="0"/>
              <w:jc w:val="center"/>
              <w:rPr>
                <w:rFonts w:cs="Arial"/>
                <w:color w:val="000000" w:themeColor="text1"/>
                <w:sz w:val="18"/>
                <w:szCs w:val="18"/>
                <w:lang w:val="fr-FR"/>
              </w:rPr>
            </w:pPr>
            <w:r w:rsidRPr="00C8316D">
              <w:rPr>
                <w:rFonts w:cs="Arial"/>
                <w:color w:val="000000" w:themeColor="text1"/>
                <w:sz w:val="18"/>
                <w:szCs w:val="18"/>
                <w:lang w:val="fr-FR"/>
              </w:rPr>
              <w:t>400 km Mexique</w:t>
            </w:r>
          </w:p>
        </w:tc>
        <w:tc>
          <w:tcPr>
            <w:tcW w:w="2621" w:type="dxa"/>
            <w:tcBorders>
              <w:top w:val="single" w:sz="4" w:space="0" w:color="auto"/>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highlight w:val="yellow"/>
                <w:lang w:val="fr-FR"/>
              </w:rPr>
            </w:pPr>
          </w:p>
        </w:tc>
      </w:tr>
      <w:tr w:rsidR="0007150A" w:rsidRPr="00C8316D" w:rsidTr="000570D5">
        <w:trPr>
          <w:trHeight w:val="228"/>
        </w:trPr>
        <w:tc>
          <w:tcPr>
            <w:tcW w:w="1706" w:type="dxa"/>
            <w:tcBorders>
              <w:top w:val="nil"/>
              <w:left w:val="single" w:sz="4" w:space="0" w:color="auto"/>
              <w:bottom w:val="single" w:sz="4" w:space="0" w:color="auto"/>
              <w:right w:val="single" w:sz="4" w:space="0" w:color="auto"/>
            </w:tcBorders>
            <w:shd w:val="clear" w:color="auto" w:fill="CCECFF"/>
            <w:vAlign w:val="center"/>
            <w:hideMark/>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Guyane</w:t>
            </w:r>
          </w:p>
        </w:tc>
        <w:tc>
          <w:tcPr>
            <w:tcW w:w="1134"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incluse</w:t>
            </w:r>
          </w:p>
        </w:tc>
        <w:tc>
          <w:tcPr>
            <w:tcW w:w="1276"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13 659 en 2009</w:t>
            </w:r>
          </w:p>
        </w:tc>
        <w:tc>
          <w:tcPr>
            <w:tcW w:w="2410"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color w:val="000000" w:themeColor="text1"/>
                <w:sz w:val="18"/>
                <w:szCs w:val="18"/>
                <w:lang w:val="fr-FR"/>
              </w:rPr>
            </w:pPr>
            <w:r w:rsidRPr="00C8316D">
              <w:rPr>
                <w:rFonts w:cs="Arial"/>
                <w:color w:val="000000" w:themeColor="text1"/>
                <w:sz w:val="18"/>
                <w:szCs w:val="18"/>
                <w:lang w:val="fr-FR"/>
              </w:rPr>
              <w:t>Frontalière Suriname et Brésil</w:t>
            </w:r>
          </w:p>
        </w:tc>
        <w:tc>
          <w:tcPr>
            <w:tcW w:w="2621"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highlight w:val="yellow"/>
                <w:lang w:val="fr-FR"/>
              </w:rPr>
            </w:pPr>
          </w:p>
        </w:tc>
      </w:tr>
      <w:tr w:rsidR="0007150A" w:rsidRPr="00C8316D" w:rsidTr="000570D5">
        <w:trPr>
          <w:trHeight w:val="228"/>
        </w:trPr>
        <w:tc>
          <w:tcPr>
            <w:tcW w:w="1706" w:type="dxa"/>
            <w:tcBorders>
              <w:top w:val="nil"/>
              <w:left w:val="single" w:sz="4" w:space="0" w:color="auto"/>
              <w:bottom w:val="single" w:sz="4" w:space="0" w:color="auto"/>
              <w:right w:val="single" w:sz="4" w:space="0" w:color="auto"/>
            </w:tcBorders>
            <w:shd w:val="clear" w:color="auto" w:fill="CCECFF"/>
            <w:vAlign w:val="center"/>
            <w:hideMark/>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Martinique</w:t>
            </w:r>
          </w:p>
        </w:tc>
        <w:tc>
          <w:tcPr>
            <w:tcW w:w="1134"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incluse</w:t>
            </w:r>
          </w:p>
        </w:tc>
        <w:tc>
          <w:tcPr>
            <w:tcW w:w="1276"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19 160 en 2009</w:t>
            </w:r>
          </w:p>
        </w:tc>
        <w:tc>
          <w:tcPr>
            <w:tcW w:w="2410" w:type="dxa"/>
            <w:tcBorders>
              <w:top w:val="nil"/>
              <w:left w:val="single" w:sz="4" w:space="0" w:color="auto"/>
              <w:bottom w:val="single" w:sz="4" w:space="0" w:color="auto"/>
              <w:right w:val="single" w:sz="4" w:space="0" w:color="auto"/>
            </w:tcBorders>
            <w:shd w:val="clear" w:color="auto" w:fill="CCECFF"/>
            <w:vAlign w:val="center"/>
          </w:tcPr>
          <w:p w:rsidR="0007150A" w:rsidRPr="00795158" w:rsidRDefault="0007150A" w:rsidP="007A34EA">
            <w:pPr>
              <w:spacing w:before="0" w:after="0"/>
              <w:jc w:val="center"/>
              <w:rPr>
                <w:rFonts w:cs="Arial"/>
                <w:color w:val="000000" w:themeColor="text1"/>
                <w:sz w:val="18"/>
                <w:szCs w:val="18"/>
              </w:rPr>
            </w:pPr>
            <w:r w:rsidRPr="00795158">
              <w:rPr>
                <w:rFonts w:cs="Arial"/>
                <w:color w:val="000000" w:themeColor="text1"/>
                <w:sz w:val="18"/>
                <w:szCs w:val="18"/>
              </w:rPr>
              <w:t>1 500 km Guyane</w:t>
            </w:r>
          </w:p>
          <w:p w:rsidR="0007150A" w:rsidRPr="00795158" w:rsidRDefault="0007150A" w:rsidP="007A34EA">
            <w:pPr>
              <w:spacing w:before="0" w:after="0"/>
              <w:jc w:val="center"/>
              <w:rPr>
                <w:rFonts w:cs="Arial"/>
                <w:color w:val="000000" w:themeColor="text1"/>
                <w:sz w:val="18"/>
                <w:szCs w:val="18"/>
              </w:rPr>
            </w:pPr>
            <w:r w:rsidRPr="00795158">
              <w:rPr>
                <w:rFonts w:cs="Arial"/>
                <w:color w:val="000000" w:themeColor="text1"/>
                <w:sz w:val="18"/>
                <w:szCs w:val="18"/>
              </w:rPr>
              <w:t>100 km Guadeloupe</w:t>
            </w:r>
          </w:p>
          <w:p w:rsidR="0007150A" w:rsidRPr="00795158" w:rsidRDefault="0007150A" w:rsidP="007A34EA">
            <w:pPr>
              <w:spacing w:before="0" w:after="0"/>
              <w:jc w:val="center"/>
              <w:rPr>
                <w:rFonts w:cs="Arial"/>
                <w:color w:val="000000" w:themeColor="text1"/>
                <w:sz w:val="18"/>
                <w:szCs w:val="18"/>
              </w:rPr>
            </w:pPr>
            <w:r w:rsidRPr="00795158">
              <w:rPr>
                <w:rFonts w:cs="Arial"/>
                <w:color w:val="000000" w:themeColor="text1"/>
                <w:sz w:val="18"/>
                <w:szCs w:val="18"/>
              </w:rPr>
              <w:t>2 000 km de Miami</w:t>
            </w:r>
          </w:p>
        </w:tc>
        <w:tc>
          <w:tcPr>
            <w:tcW w:w="2621" w:type="dxa"/>
            <w:tcBorders>
              <w:top w:val="nil"/>
              <w:left w:val="single" w:sz="4" w:space="0" w:color="auto"/>
              <w:bottom w:val="single" w:sz="4" w:space="0" w:color="auto"/>
              <w:right w:val="single" w:sz="4" w:space="0" w:color="auto"/>
            </w:tcBorders>
            <w:shd w:val="clear" w:color="auto" w:fill="CCECFF"/>
            <w:vAlign w:val="center"/>
          </w:tcPr>
          <w:p w:rsidR="0007150A" w:rsidRPr="00795158" w:rsidRDefault="0007150A" w:rsidP="007A34EA">
            <w:pPr>
              <w:spacing w:before="0" w:after="0"/>
              <w:jc w:val="center"/>
              <w:rPr>
                <w:rFonts w:cs="Arial"/>
                <w:sz w:val="18"/>
                <w:szCs w:val="18"/>
                <w:highlight w:val="yellow"/>
              </w:rPr>
            </w:pPr>
          </w:p>
        </w:tc>
      </w:tr>
      <w:tr w:rsidR="0007150A" w:rsidRPr="00C8316D" w:rsidTr="000570D5">
        <w:trPr>
          <w:trHeight w:val="228"/>
        </w:trPr>
        <w:tc>
          <w:tcPr>
            <w:tcW w:w="1706" w:type="dxa"/>
            <w:tcBorders>
              <w:top w:val="nil"/>
              <w:left w:val="single" w:sz="4" w:space="0" w:color="auto"/>
              <w:bottom w:val="single" w:sz="4" w:space="0" w:color="auto"/>
              <w:right w:val="single" w:sz="4" w:space="0" w:color="auto"/>
            </w:tcBorders>
            <w:shd w:val="clear" w:color="auto" w:fill="CCECFF"/>
            <w:vAlign w:val="center"/>
            <w:hideMark/>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Réunion</w:t>
            </w:r>
          </w:p>
        </w:tc>
        <w:tc>
          <w:tcPr>
            <w:tcW w:w="1134"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incluse</w:t>
            </w:r>
          </w:p>
        </w:tc>
        <w:tc>
          <w:tcPr>
            <w:tcW w:w="1276"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17 543 en 2009</w:t>
            </w:r>
          </w:p>
        </w:tc>
        <w:tc>
          <w:tcPr>
            <w:tcW w:w="2410"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color w:val="000000" w:themeColor="text1"/>
                <w:sz w:val="18"/>
                <w:szCs w:val="18"/>
                <w:lang w:val="fr-FR"/>
              </w:rPr>
              <w:t>900 km Madagascar</w:t>
            </w:r>
          </w:p>
        </w:tc>
        <w:tc>
          <w:tcPr>
            <w:tcW w:w="2621"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highlight w:val="yellow"/>
                <w:lang w:val="fr-FR"/>
              </w:rPr>
            </w:pPr>
          </w:p>
        </w:tc>
      </w:tr>
      <w:tr w:rsidR="0007150A" w:rsidRPr="00192718" w:rsidTr="000570D5">
        <w:trPr>
          <w:trHeight w:val="225"/>
        </w:trPr>
        <w:tc>
          <w:tcPr>
            <w:tcW w:w="1706" w:type="dxa"/>
            <w:tcBorders>
              <w:top w:val="nil"/>
              <w:left w:val="single" w:sz="4" w:space="0" w:color="auto"/>
              <w:bottom w:val="single" w:sz="4" w:space="0" w:color="auto"/>
              <w:right w:val="single" w:sz="4" w:space="0" w:color="auto"/>
            </w:tcBorders>
            <w:shd w:val="clear" w:color="auto" w:fill="CCECFF"/>
            <w:vAlign w:val="center"/>
            <w:hideMark/>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Saint Barthélémy</w:t>
            </w:r>
          </w:p>
        </w:tc>
        <w:tc>
          <w:tcPr>
            <w:tcW w:w="1134"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Incluse</w:t>
            </w:r>
          </w:p>
        </w:tc>
        <w:tc>
          <w:tcPr>
            <w:tcW w:w="1276"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26 000 €/hab en 2005</w:t>
            </w:r>
          </w:p>
        </w:tc>
        <w:tc>
          <w:tcPr>
            <w:tcW w:w="2410" w:type="dxa"/>
            <w:tcBorders>
              <w:top w:val="nil"/>
              <w:left w:val="single" w:sz="4" w:space="0" w:color="auto"/>
              <w:bottom w:val="single" w:sz="4" w:space="0" w:color="auto"/>
              <w:right w:val="single" w:sz="4" w:space="0" w:color="auto"/>
            </w:tcBorders>
            <w:shd w:val="clear" w:color="auto" w:fill="CCECFF"/>
            <w:vAlign w:val="center"/>
          </w:tcPr>
          <w:p w:rsidR="0007150A" w:rsidRPr="00795158" w:rsidRDefault="0007150A" w:rsidP="007A34EA">
            <w:pPr>
              <w:spacing w:before="0" w:after="0"/>
              <w:jc w:val="center"/>
              <w:rPr>
                <w:rFonts w:cs="Arial"/>
                <w:color w:val="000000" w:themeColor="text1"/>
                <w:sz w:val="18"/>
                <w:szCs w:val="18"/>
              </w:rPr>
            </w:pPr>
            <w:r w:rsidRPr="00795158">
              <w:rPr>
                <w:rFonts w:cs="Arial"/>
                <w:color w:val="000000" w:themeColor="text1"/>
                <w:sz w:val="18"/>
                <w:szCs w:val="18"/>
              </w:rPr>
              <w:t xml:space="preserve">25 km </w:t>
            </w:r>
            <w:hyperlink r:id="rId10" w:tooltip="Saint-Martin (île)" w:history="1">
              <w:r w:rsidRPr="00795158">
                <w:rPr>
                  <w:rFonts w:cs="Arial"/>
                  <w:color w:val="000000" w:themeColor="text1"/>
                  <w:sz w:val="18"/>
                  <w:szCs w:val="18"/>
                </w:rPr>
                <w:t>St-Martin</w:t>
              </w:r>
            </w:hyperlink>
          </w:p>
          <w:p w:rsidR="0007150A" w:rsidRPr="00795158" w:rsidRDefault="0007150A" w:rsidP="007A34EA">
            <w:pPr>
              <w:spacing w:before="0" w:after="0"/>
              <w:jc w:val="center"/>
              <w:rPr>
                <w:rFonts w:cs="Arial"/>
                <w:color w:val="000000" w:themeColor="text1"/>
                <w:sz w:val="18"/>
                <w:szCs w:val="18"/>
              </w:rPr>
            </w:pPr>
            <w:r w:rsidRPr="00795158">
              <w:rPr>
                <w:rFonts w:cs="Arial"/>
                <w:color w:val="000000" w:themeColor="text1"/>
                <w:sz w:val="18"/>
                <w:szCs w:val="18"/>
              </w:rPr>
              <w:t>100 km Guadeloupe</w:t>
            </w:r>
          </w:p>
          <w:p w:rsidR="0007150A" w:rsidRPr="00795158" w:rsidRDefault="0007150A" w:rsidP="007A34EA">
            <w:pPr>
              <w:spacing w:before="0" w:after="0"/>
              <w:jc w:val="center"/>
              <w:rPr>
                <w:rFonts w:cs="Arial"/>
                <w:sz w:val="18"/>
                <w:szCs w:val="18"/>
              </w:rPr>
            </w:pPr>
            <w:r w:rsidRPr="00795158">
              <w:rPr>
                <w:rFonts w:cs="Arial"/>
                <w:color w:val="000000" w:themeColor="text1"/>
                <w:sz w:val="18"/>
                <w:szCs w:val="18"/>
              </w:rPr>
              <w:t>1 200 km Venezuela</w:t>
            </w:r>
          </w:p>
        </w:tc>
        <w:tc>
          <w:tcPr>
            <w:tcW w:w="2621"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PIB élevé. Statistiques communes avec la Guadeloupe.</w:t>
            </w:r>
          </w:p>
        </w:tc>
      </w:tr>
      <w:tr w:rsidR="0007150A" w:rsidRPr="00C8316D" w:rsidTr="000570D5">
        <w:trPr>
          <w:trHeight w:val="225"/>
        </w:trPr>
        <w:tc>
          <w:tcPr>
            <w:tcW w:w="1706" w:type="dxa"/>
            <w:tcBorders>
              <w:top w:val="nil"/>
              <w:left w:val="single" w:sz="4" w:space="0" w:color="auto"/>
              <w:bottom w:val="single" w:sz="4" w:space="0" w:color="auto"/>
              <w:right w:val="single" w:sz="4" w:space="0" w:color="auto"/>
            </w:tcBorders>
            <w:shd w:val="clear" w:color="auto" w:fill="CCECFF"/>
            <w:vAlign w:val="center"/>
            <w:hideMark/>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Saint-Pierre et Miquelon</w:t>
            </w:r>
          </w:p>
        </w:tc>
        <w:tc>
          <w:tcPr>
            <w:tcW w:w="1134"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non incluse (PTOM)</w:t>
            </w:r>
          </w:p>
        </w:tc>
        <w:tc>
          <w:tcPr>
            <w:tcW w:w="1276"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34 396 en 2009</w:t>
            </w:r>
          </w:p>
        </w:tc>
        <w:tc>
          <w:tcPr>
            <w:tcW w:w="2410"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color w:val="000000" w:themeColor="text1"/>
                <w:sz w:val="18"/>
                <w:szCs w:val="18"/>
                <w:lang w:val="fr-FR"/>
              </w:rPr>
            </w:pPr>
            <w:r w:rsidRPr="00C8316D">
              <w:rPr>
                <w:rFonts w:cs="Arial"/>
                <w:color w:val="000000" w:themeColor="text1"/>
                <w:sz w:val="18"/>
                <w:szCs w:val="18"/>
                <w:lang w:val="fr-FR"/>
              </w:rPr>
              <w:t>1 200 km Boston</w:t>
            </w:r>
          </w:p>
          <w:p w:rsidR="0007150A" w:rsidRPr="00C8316D" w:rsidRDefault="0007150A" w:rsidP="007A34EA">
            <w:pPr>
              <w:spacing w:before="0" w:after="0"/>
              <w:jc w:val="center"/>
              <w:rPr>
                <w:rFonts w:cs="Arial"/>
                <w:sz w:val="18"/>
                <w:szCs w:val="18"/>
                <w:lang w:val="fr-FR"/>
              </w:rPr>
            </w:pPr>
            <w:r w:rsidRPr="00C8316D">
              <w:rPr>
                <w:rFonts w:cs="Arial"/>
                <w:color w:val="000000" w:themeColor="text1"/>
                <w:sz w:val="18"/>
                <w:szCs w:val="18"/>
                <w:lang w:val="fr-FR"/>
              </w:rPr>
              <w:t>1</w:t>
            </w:r>
            <w:r w:rsidR="00795158">
              <w:rPr>
                <w:rFonts w:cs="Arial"/>
                <w:color w:val="000000" w:themeColor="text1"/>
                <w:sz w:val="18"/>
                <w:szCs w:val="18"/>
                <w:lang w:val="fr-FR"/>
              </w:rPr>
              <w:t> </w:t>
            </w:r>
            <w:r w:rsidRPr="00C8316D">
              <w:rPr>
                <w:rFonts w:cs="Arial"/>
                <w:color w:val="000000" w:themeColor="text1"/>
                <w:sz w:val="18"/>
                <w:szCs w:val="18"/>
                <w:lang w:val="fr-FR"/>
              </w:rPr>
              <w:t>300</w:t>
            </w:r>
            <w:r w:rsidR="00795158">
              <w:rPr>
                <w:rFonts w:cs="Arial"/>
                <w:color w:val="000000" w:themeColor="text1"/>
                <w:sz w:val="18"/>
                <w:szCs w:val="18"/>
                <w:lang w:val="fr-FR"/>
              </w:rPr>
              <w:t xml:space="preserve"> km</w:t>
            </w:r>
            <w:r w:rsidRPr="00C8316D">
              <w:rPr>
                <w:rFonts w:cs="Arial"/>
                <w:color w:val="000000" w:themeColor="text1"/>
                <w:sz w:val="18"/>
                <w:szCs w:val="18"/>
                <w:lang w:val="fr-FR"/>
              </w:rPr>
              <w:t xml:space="preserve"> Montréal</w:t>
            </w:r>
          </w:p>
        </w:tc>
        <w:tc>
          <w:tcPr>
            <w:tcW w:w="2621"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highlight w:val="magenta"/>
                <w:lang w:val="fr-FR"/>
              </w:rPr>
            </w:pPr>
            <w:r w:rsidRPr="00C8316D">
              <w:rPr>
                <w:rFonts w:cs="Arial"/>
                <w:sz w:val="18"/>
                <w:szCs w:val="18"/>
                <w:lang w:val="fr-FR"/>
              </w:rPr>
              <w:t>PIB élevé</w:t>
            </w:r>
          </w:p>
        </w:tc>
      </w:tr>
      <w:tr w:rsidR="0007150A" w:rsidRPr="00192718" w:rsidTr="000570D5">
        <w:trPr>
          <w:trHeight w:val="225"/>
        </w:trPr>
        <w:tc>
          <w:tcPr>
            <w:tcW w:w="1706" w:type="dxa"/>
            <w:tcBorders>
              <w:top w:val="nil"/>
              <w:left w:val="single" w:sz="4" w:space="0" w:color="auto"/>
              <w:bottom w:val="single" w:sz="4" w:space="0" w:color="auto"/>
              <w:right w:val="single" w:sz="4" w:space="0" w:color="auto"/>
            </w:tcBorders>
            <w:shd w:val="clear" w:color="auto" w:fill="CCECFF"/>
            <w:vAlign w:val="center"/>
            <w:hideMark/>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Saint Martin</w:t>
            </w:r>
          </w:p>
        </w:tc>
        <w:tc>
          <w:tcPr>
            <w:tcW w:w="1134"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incluse</w:t>
            </w:r>
          </w:p>
        </w:tc>
        <w:tc>
          <w:tcPr>
            <w:tcW w:w="1276"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color w:val="1F497D" w:themeColor="text2"/>
                <w:sz w:val="18"/>
                <w:szCs w:val="18"/>
                <w:lang w:val="fr-FR"/>
              </w:rPr>
            </w:pPr>
            <w:r w:rsidRPr="00C8316D">
              <w:rPr>
                <w:rFonts w:cs="Arial"/>
                <w:color w:val="000000" w:themeColor="text1"/>
                <w:sz w:val="18"/>
                <w:szCs w:val="18"/>
                <w:lang w:val="fr-FR"/>
              </w:rPr>
              <w:t>14 500 €/hab en 2005</w:t>
            </w:r>
          </w:p>
        </w:tc>
        <w:tc>
          <w:tcPr>
            <w:tcW w:w="2410"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sz w:val="18"/>
                <w:szCs w:val="18"/>
                <w:lang w:val="fr-FR"/>
              </w:rPr>
            </w:pPr>
            <w:r w:rsidRPr="00C8316D">
              <w:rPr>
                <w:rFonts w:cs="Arial"/>
                <w:color w:val="000000" w:themeColor="text1"/>
                <w:sz w:val="18"/>
                <w:szCs w:val="18"/>
                <w:lang w:val="fr-FR"/>
              </w:rPr>
              <w:t>260 km Guadeloupe</w:t>
            </w:r>
          </w:p>
        </w:tc>
        <w:tc>
          <w:tcPr>
            <w:tcW w:w="2621" w:type="dxa"/>
            <w:tcBorders>
              <w:top w:val="nil"/>
              <w:left w:val="single" w:sz="4" w:space="0" w:color="auto"/>
              <w:bottom w:val="single" w:sz="4" w:space="0" w:color="auto"/>
              <w:right w:val="single" w:sz="4" w:space="0" w:color="auto"/>
            </w:tcBorders>
            <w:shd w:val="clear" w:color="auto" w:fill="CCECFF"/>
            <w:vAlign w:val="center"/>
          </w:tcPr>
          <w:p w:rsidR="0007150A" w:rsidRPr="00C8316D" w:rsidRDefault="0007150A" w:rsidP="007A34EA">
            <w:pPr>
              <w:spacing w:before="0" w:after="0"/>
              <w:jc w:val="center"/>
              <w:rPr>
                <w:rFonts w:cs="Arial"/>
                <w:color w:val="1F497D" w:themeColor="text2"/>
                <w:sz w:val="18"/>
                <w:szCs w:val="18"/>
                <w:lang w:val="fr-FR"/>
              </w:rPr>
            </w:pPr>
            <w:r w:rsidRPr="00C8316D">
              <w:rPr>
                <w:rFonts w:cs="Arial"/>
                <w:sz w:val="18"/>
                <w:szCs w:val="18"/>
                <w:lang w:val="fr-FR"/>
              </w:rPr>
              <w:t>PIB faible.</w:t>
            </w:r>
            <w:r w:rsidRPr="00C8316D">
              <w:rPr>
                <w:rFonts w:cs="Arial"/>
                <w:color w:val="1F497D" w:themeColor="text2"/>
                <w:sz w:val="18"/>
                <w:szCs w:val="18"/>
                <w:lang w:val="fr-FR"/>
              </w:rPr>
              <w:t xml:space="preserve"> </w:t>
            </w:r>
            <w:r w:rsidRPr="00C8316D">
              <w:rPr>
                <w:rFonts w:cs="Arial"/>
                <w:sz w:val="18"/>
                <w:szCs w:val="18"/>
                <w:lang w:val="fr-FR"/>
              </w:rPr>
              <w:t>Statistiques communes avec la Guadeloupe.</w:t>
            </w:r>
          </w:p>
        </w:tc>
      </w:tr>
      <w:tr w:rsidR="0007150A" w:rsidRPr="00C8316D" w:rsidTr="000570D5">
        <w:trPr>
          <w:trHeight w:val="225"/>
        </w:trPr>
        <w:tc>
          <w:tcPr>
            <w:tcW w:w="1706"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Wallis et Futuna</w:t>
            </w:r>
          </w:p>
        </w:tc>
        <w:tc>
          <w:tcPr>
            <w:tcW w:w="1134"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non incluse (PTOM)</w:t>
            </w:r>
          </w:p>
        </w:tc>
        <w:tc>
          <w:tcPr>
            <w:tcW w:w="1276"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14 068 en 2009</w:t>
            </w:r>
          </w:p>
        </w:tc>
        <w:tc>
          <w:tcPr>
            <w:tcW w:w="2410"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3 000 km Nouvelle Zélande</w:t>
            </w:r>
          </w:p>
          <w:p w:rsidR="0007150A" w:rsidRPr="00C8316D" w:rsidRDefault="0007150A" w:rsidP="007A34EA">
            <w:pPr>
              <w:spacing w:before="0" w:after="0"/>
              <w:jc w:val="center"/>
              <w:rPr>
                <w:rFonts w:cs="Arial"/>
                <w:sz w:val="18"/>
                <w:szCs w:val="18"/>
                <w:lang w:val="fr-FR"/>
              </w:rPr>
            </w:pPr>
            <w:r w:rsidRPr="00C8316D">
              <w:rPr>
                <w:rFonts w:cs="Arial"/>
                <w:sz w:val="18"/>
                <w:szCs w:val="18"/>
                <w:lang w:val="fr-FR"/>
              </w:rPr>
              <w:t>5 000 km Australie</w:t>
            </w:r>
          </w:p>
        </w:tc>
        <w:tc>
          <w:tcPr>
            <w:tcW w:w="2621"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highlight w:val="magenta"/>
                <w:lang w:val="fr-FR"/>
              </w:rPr>
            </w:pPr>
            <w:r w:rsidRPr="00C8316D">
              <w:rPr>
                <w:rFonts w:cs="Arial"/>
                <w:sz w:val="18"/>
                <w:szCs w:val="18"/>
                <w:lang w:val="fr-FR"/>
              </w:rPr>
              <w:t>PIB faible</w:t>
            </w:r>
          </w:p>
        </w:tc>
      </w:tr>
      <w:tr w:rsidR="0007150A" w:rsidRPr="00C8316D" w:rsidTr="000570D5">
        <w:trPr>
          <w:trHeight w:val="225"/>
        </w:trPr>
        <w:tc>
          <w:tcPr>
            <w:tcW w:w="1706"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Mayotte</w:t>
            </w:r>
          </w:p>
        </w:tc>
        <w:tc>
          <w:tcPr>
            <w:tcW w:w="1134"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non incluse (PTOM)</w:t>
            </w:r>
          </w:p>
        </w:tc>
        <w:tc>
          <w:tcPr>
            <w:tcW w:w="1276"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5 711 en 2009</w:t>
            </w:r>
          </w:p>
          <w:p w:rsidR="0007150A" w:rsidRPr="00C8316D" w:rsidRDefault="0007150A" w:rsidP="007A34EA">
            <w:pPr>
              <w:spacing w:before="0" w:after="0"/>
              <w:jc w:val="center"/>
              <w:rPr>
                <w:rFonts w:cs="Arial"/>
                <w:sz w:val="18"/>
                <w:szCs w:val="18"/>
                <w:lang w:val="fr-FR"/>
              </w:rPr>
            </w:pPr>
            <w:r w:rsidRPr="00C8316D">
              <w:rPr>
                <w:rFonts w:cs="Arial"/>
                <w:sz w:val="18"/>
                <w:szCs w:val="18"/>
                <w:lang w:val="fr-FR"/>
              </w:rPr>
              <w:t>3 960 €/hab en 2011</w:t>
            </w:r>
          </w:p>
        </w:tc>
        <w:tc>
          <w:tcPr>
            <w:tcW w:w="2410"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300 km Madagascar</w:t>
            </w:r>
          </w:p>
          <w:p w:rsidR="0007150A" w:rsidRPr="00C8316D" w:rsidRDefault="0007150A" w:rsidP="007A34EA">
            <w:pPr>
              <w:spacing w:before="0" w:after="0"/>
              <w:jc w:val="center"/>
              <w:rPr>
                <w:rFonts w:cs="Arial"/>
                <w:sz w:val="18"/>
                <w:szCs w:val="18"/>
                <w:lang w:val="fr-FR"/>
              </w:rPr>
            </w:pPr>
            <w:r w:rsidRPr="00C8316D">
              <w:rPr>
                <w:rFonts w:cs="Arial"/>
                <w:sz w:val="18"/>
                <w:szCs w:val="18"/>
                <w:lang w:val="fr-FR"/>
              </w:rPr>
              <w:t>680 km Mozambique</w:t>
            </w:r>
          </w:p>
        </w:tc>
        <w:tc>
          <w:tcPr>
            <w:tcW w:w="2621"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PIB très faible</w:t>
            </w:r>
          </w:p>
        </w:tc>
      </w:tr>
      <w:tr w:rsidR="0007150A" w:rsidRPr="00C8316D" w:rsidTr="000570D5">
        <w:trPr>
          <w:trHeight w:val="225"/>
        </w:trPr>
        <w:tc>
          <w:tcPr>
            <w:tcW w:w="1706"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Polynésie Française</w:t>
            </w:r>
          </w:p>
        </w:tc>
        <w:tc>
          <w:tcPr>
            <w:tcW w:w="1134"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non incluse (PTOM)</w:t>
            </w:r>
          </w:p>
        </w:tc>
        <w:tc>
          <w:tcPr>
            <w:tcW w:w="1276"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19 026 en 2009</w:t>
            </w:r>
          </w:p>
          <w:p w:rsidR="0007150A" w:rsidRPr="00C8316D" w:rsidRDefault="0007150A" w:rsidP="00795158">
            <w:pPr>
              <w:spacing w:before="0" w:after="0"/>
              <w:jc w:val="center"/>
              <w:rPr>
                <w:rFonts w:cs="Arial"/>
                <w:sz w:val="18"/>
                <w:szCs w:val="18"/>
                <w:lang w:val="fr-FR"/>
              </w:rPr>
            </w:pPr>
            <w:r w:rsidRPr="00C8316D">
              <w:rPr>
                <w:rFonts w:cs="Arial"/>
                <w:sz w:val="18"/>
                <w:szCs w:val="18"/>
                <w:lang w:val="fr-FR"/>
              </w:rPr>
              <w:t>17</w:t>
            </w:r>
            <w:r w:rsidR="00795158">
              <w:rPr>
                <w:rFonts w:cs="Arial"/>
                <w:sz w:val="18"/>
                <w:szCs w:val="18"/>
                <w:lang w:val="fr-FR"/>
              </w:rPr>
              <w:t xml:space="preserve"> </w:t>
            </w:r>
            <w:r w:rsidRPr="00C8316D">
              <w:rPr>
                <w:rFonts w:cs="Arial"/>
                <w:sz w:val="18"/>
                <w:szCs w:val="18"/>
                <w:lang w:val="fr-FR"/>
              </w:rPr>
              <w:t>100 €/hab en 2004</w:t>
            </w:r>
          </w:p>
        </w:tc>
        <w:tc>
          <w:tcPr>
            <w:tcW w:w="2410"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3 900 km Nouvelle Zélande</w:t>
            </w:r>
          </w:p>
          <w:p w:rsidR="0007150A" w:rsidRPr="00C8316D" w:rsidRDefault="0007150A" w:rsidP="007A34EA">
            <w:pPr>
              <w:spacing w:before="0" w:after="0"/>
              <w:jc w:val="center"/>
              <w:rPr>
                <w:rFonts w:cs="Arial"/>
                <w:sz w:val="18"/>
                <w:szCs w:val="18"/>
                <w:lang w:val="fr-FR"/>
              </w:rPr>
            </w:pPr>
            <w:r w:rsidRPr="00C8316D">
              <w:rPr>
                <w:rFonts w:cs="Arial"/>
                <w:sz w:val="18"/>
                <w:szCs w:val="18"/>
                <w:lang w:val="fr-FR"/>
              </w:rPr>
              <w:t>4 700 km Nouvelle Calédonie</w:t>
            </w:r>
          </w:p>
        </w:tc>
        <w:tc>
          <w:tcPr>
            <w:tcW w:w="2621"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PIB intermédiaire</w:t>
            </w:r>
          </w:p>
        </w:tc>
      </w:tr>
      <w:tr w:rsidR="0007150A" w:rsidRPr="00192718" w:rsidTr="000570D5">
        <w:trPr>
          <w:trHeight w:val="225"/>
        </w:trPr>
        <w:tc>
          <w:tcPr>
            <w:tcW w:w="1706"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Nouvelle-Calédonie</w:t>
            </w:r>
          </w:p>
        </w:tc>
        <w:tc>
          <w:tcPr>
            <w:tcW w:w="1134"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795158" w:rsidP="007A34EA">
            <w:pPr>
              <w:spacing w:before="0" w:after="0"/>
              <w:jc w:val="center"/>
              <w:rPr>
                <w:rFonts w:cs="Arial"/>
                <w:sz w:val="18"/>
                <w:szCs w:val="18"/>
                <w:lang w:val="fr-FR"/>
              </w:rPr>
            </w:pPr>
            <w:r>
              <w:rPr>
                <w:rFonts w:cs="Arial"/>
                <w:sz w:val="18"/>
                <w:szCs w:val="18"/>
                <w:lang w:val="fr-FR"/>
              </w:rPr>
              <w:t>n</w:t>
            </w:r>
            <w:r w:rsidR="0007150A" w:rsidRPr="00C8316D">
              <w:rPr>
                <w:rFonts w:cs="Arial"/>
                <w:sz w:val="18"/>
                <w:szCs w:val="18"/>
                <w:lang w:val="fr-FR"/>
              </w:rPr>
              <w:t>on incluse (PTOM)</w:t>
            </w:r>
          </w:p>
        </w:tc>
        <w:tc>
          <w:tcPr>
            <w:tcW w:w="1276"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27 204 en 2009</w:t>
            </w:r>
          </w:p>
        </w:tc>
        <w:tc>
          <w:tcPr>
            <w:tcW w:w="2410"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1 500 km Australie</w:t>
            </w:r>
          </w:p>
          <w:p w:rsidR="0007150A" w:rsidRPr="00C8316D" w:rsidRDefault="0007150A" w:rsidP="007A34EA">
            <w:pPr>
              <w:spacing w:before="0" w:after="0"/>
              <w:jc w:val="center"/>
              <w:rPr>
                <w:rFonts w:cs="Arial"/>
                <w:sz w:val="18"/>
                <w:szCs w:val="18"/>
                <w:lang w:val="fr-FR"/>
              </w:rPr>
            </w:pPr>
            <w:r w:rsidRPr="00C8316D">
              <w:rPr>
                <w:rFonts w:cs="Arial"/>
                <w:sz w:val="18"/>
                <w:szCs w:val="18"/>
                <w:lang w:val="fr-FR"/>
              </w:rPr>
              <w:t>2 000 km Nouvelle Zélande</w:t>
            </w:r>
          </w:p>
        </w:tc>
        <w:tc>
          <w:tcPr>
            <w:tcW w:w="2621"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07150A" w:rsidRPr="00C8316D" w:rsidRDefault="0007150A" w:rsidP="007A34EA">
            <w:pPr>
              <w:spacing w:before="0" w:after="0"/>
              <w:jc w:val="center"/>
              <w:rPr>
                <w:rFonts w:cs="Arial"/>
                <w:sz w:val="18"/>
                <w:szCs w:val="18"/>
                <w:lang w:val="fr-FR"/>
              </w:rPr>
            </w:pPr>
            <w:r w:rsidRPr="00C8316D">
              <w:rPr>
                <w:rFonts w:cs="Arial"/>
                <w:sz w:val="18"/>
                <w:szCs w:val="18"/>
                <w:lang w:val="fr-FR"/>
              </w:rPr>
              <w:t xml:space="preserve">Richesse </w:t>
            </w:r>
            <w:r w:rsidRPr="00C8316D">
              <w:rPr>
                <w:rFonts w:cs="Arial"/>
                <w:b/>
                <w:sz w:val="18"/>
                <w:szCs w:val="18"/>
                <w:lang w:val="fr-FR"/>
              </w:rPr>
              <w:t>apparente</w:t>
            </w:r>
            <w:r w:rsidRPr="00C8316D">
              <w:rPr>
                <w:rFonts w:cs="Arial"/>
                <w:sz w:val="18"/>
                <w:szCs w:val="18"/>
                <w:lang w:val="fr-FR"/>
              </w:rPr>
              <w:t xml:space="preserve"> liée au nickel mais pas de développement</w:t>
            </w:r>
          </w:p>
        </w:tc>
      </w:tr>
    </w:tbl>
    <w:p w:rsidR="0007150A" w:rsidRPr="00C8316D" w:rsidRDefault="0007150A" w:rsidP="0007150A">
      <w:pPr>
        <w:rPr>
          <w:lang w:val="fr-FR"/>
        </w:rPr>
      </w:pPr>
    </w:p>
    <w:p w:rsidR="0007150A" w:rsidRPr="00C8316D" w:rsidRDefault="0007150A" w:rsidP="0007150A">
      <w:pPr>
        <w:rPr>
          <w:lang w:val="fr-FR"/>
        </w:rPr>
      </w:pPr>
      <w:r w:rsidRPr="00C8316D">
        <w:rPr>
          <w:lang w:val="fr-FR"/>
        </w:rPr>
        <w:t xml:space="preserve">Il ressort du tableau 1 et du paragraphe 2.1 deux groupes de territoires : </w:t>
      </w:r>
    </w:p>
    <w:p w:rsidR="0007150A" w:rsidRPr="00C8316D" w:rsidRDefault="0007150A" w:rsidP="0007150A">
      <w:pPr>
        <w:pStyle w:val="Paragraphedeliste"/>
        <w:numPr>
          <w:ilvl w:val="0"/>
          <w:numId w:val="4"/>
        </w:numPr>
        <w:jc w:val="both"/>
        <w:rPr>
          <w:lang w:val="fr-FR"/>
        </w:rPr>
      </w:pPr>
      <w:r w:rsidRPr="00C8316D">
        <w:rPr>
          <w:b/>
          <w:lang w:val="fr-FR"/>
        </w:rPr>
        <w:t>Groupe 1 : Réunion, Guadeloupe, Martinique, Guyane et St Pierre et Miquelon</w:t>
      </w:r>
      <w:r w:rsidRPr="00C8316D">
        <w:rPr>
          <w:lang w:val="fr-FR"/>
        </w:rPr>
        <w:t xml:space="preserve"> sont assujettis à la réglementation française et ont des PIB du même ordre, ceux de St Pierre et Miquelon et de Saint Barthélémy sont élevés mais ont des populations faibles. Saint Ba</w:t>
      </w:r>
      <w:r w:rsidR="00795158">
        <w:rPr>
          <w:lang w:val="fr-FR"/>
        </w:rPr>
        <w:t>r</w:t>
      </w:r>
      <w:r w:rsidRPr="00C8316D">
        <w:rPr>
          <w:lang w:val="fr-FR"/>
        </w:rPr>
        <w:t>thélémy a un PIB plus élevé que les autres territoires mais, comme pour Saint Martin, peu de statistiques sont disponibles, étant publiées sans distinction avec celles de la Guadeloupe.</w:t>
      </w:r>
    </w:p>
    <w:p w:rsidR="0007150A" w:rsidRPr="00C8316D" w:rsidRDefault="0007150A" w:rsidP="0007150A">
      <w:pPr>
        <w:pStyle w:val="Paragraphedeliste"/>
        <w:numPr>
          <w:ilvl w:val="0"/>
          <w:numId w:val="4"/>
        </w:numPr>
        <w:jc w:val="both"/>
        <w:rPr>
          <w:lang w:val="fr-FR"/>
        </w:rPr>
      </w:pPr>
      <w:r w:rsidRPr="00C8316D">
        <w:rPr>
          <w:b/>
          <w:lang w:val="fr-FR"/>
        </w:rPr>
        <w:t>Groupe 2 : Polynésie, Wallis et Futuna, Nouvelle-Calédonie</w:t>
      </w:r>
      <w:r w:rsidRPr="00C8316D">
        <w:rPr>
          <w:lang w:val="fr-FR"/>
        </w:rPr>
        <w:t xml:space="preserve"> ne dépendent ni de la réglementation française, ni de la réglementation européenne. </w:t>
      </w:r>
      <w:r w:rsidRPr="00C8316D">
        <w:rPr>
          <w:b/>
          <w:lang w:val="fr-FR"/>
        </w:rPr>
        <w:t>Mayotte</w:t>
      </w:r>
      <w:r w:rsidRPr="00C8316D">
        <w:rPr>
          <w:lang w:val="fr-FR"/>
        </w:rPr>
        <w:t xml:space="preserve"> en dépend depuis </w:t>
      </w:r>
      <w:r w:rsidRPr="00327A01">
        <w:rPr>
          <w:lang w:val="fr-FR"/>
        </w:rPr>
        <w:t>2008</w:t>
      </w:r>
      <w:r w:rsidRPr="00C8316D">
        <w:rPr>
          <w:lang w:val="fr-FR"/>
        </w:rPr>
        <w:t xml:space="preserve"> mais a un PIB très faible et pour ces deux raisons peut être rattachée au deuxième groupe.</w:t>
      </w:r>
    </w:p>
    <w:p w:rsidR="0007150A" w:rsidRPr="00C8316D" w:rsidRDefault="0007150A" w:rsidP="0007150A">
      <w:pPr>
        <w:jc w:val="both"/>
        <w:rPr>
          <w:lang w:val="fr-FR"/>
        </w:rPr>
      </w:pPr>
      <w:r w:rsidRPr="00C8316D">
        <w:rPr>
          <w:lang w:val="fr-FR"/>
        </w:rPr>
        <w:lastRenderedPageBreak/>
        <w:t>La dépendance à des réglementations différentes est déterminante pour le classement des territoires car elle joue sur les évolutions des fluides utilisés, sur les tendances au confinement et les progrès des efficacités de récupération.</w:t>
      </w:r>
    </w:p>
    <w:p w:rsidR="0007150A" w:rsidRPr="00C8316D" w:rsidRDefault="0007150A" w:rsidP="005741C0">
      <w:pPr>
        <w:pStyle w:val="Paragraphedeliste"/>
        <w:ind w:left="435"/>
        <w:jc w:val="both"/>
        <w:rPr>
          <w:lang w:val="fr-FR"/>
        </w:rPr>
      </w:pPr>
    </w:p>
    <w:p w:rsidR="0037641F" w:rsidRPr="00C8316D" w:rsidRDefault="0037641F" w:rsidP="0037641F">
      <w:pPr>
        <w:pStyle w:val="Titre1"/>
        <w:rPr>
          <w:lang w:val="fr-FR"/>
        </w:rPr>
      </w:pPr>
      <w:bookmarkStart w:id="5" w:name="_Toc310855631"/>
      <w:r w:rsidRPr="00C8316D">
        <w:rPr>
          <w:lang w:val="fr-FR"/>
        </w:rPr>
        <w:t xml:space="preserve">2 – </w:t>
      </w:r>
      <w:r w:rsidR="001E362B" w:rsidRPr="00C8316D">
        <w:rPr>
          <w:lang w:val="fr-FR"/>
        </w:rPr>
        <w:t>Méthodologie</w:t>
      </w:r>
      <w:bookmarkEnd w:id="5"/>
    </w:p>
    <w:p w:rsidR="00366A8F" w:rsidRPr="00C8316D" w:rsidRDefault="006251CE" w:rsidP="006251CE">
      <w:pPr>
        <w:jc w:val="both"/>
        <w:rPr>
          <w:rFonts w:cs="Arial"/>
          <w:lang w:val="fr-FR"/>
        </w:rPr>
      </w:pPr>
      <w:r w:rsidRPr="00C8316D">
        <w:rPr>
          <w:rFonts w:cs="Arial"/>
          <w:lang w:val="fr-FR"/>
        </w:rPr>
        <w:t xml:space="preserve">Dans le cadre de la réalisation annuelle d’inventaires, le CEP-Paris a développé un logiciel de calcul RIEP (Refrigerant Inventories </w:t>
      </w:r>
      <w:r w:rsidR="00366A8F" w:rsidRPr="00C8316D">
        <w:rPr>
          <w:rFonts w:cs="Arial"/>
          <w:lang w:val="fr-FR"/>
        </w:rPr>
        <w:t xml:space="preserve">and </w:t>
      </w:r>
      <w:r w:rsidRPr="00C8316D">
        <w:rPr>
          <w:rFonts w:cs="Arial"/>
          <w:lang w:val="fr-FR"/>
        </w:rPr>
        <w:t xml:space="preserve">Emission Prevision) qui, couplé à une base de données </w:t>
      </w:r>
      <w:r w:rsidR="0080277D" w:rsidRPr="00C8316D">
        <w:rPr>
          <w:rFonts w:cs="Arial"/>
          <w:lang w:val="fr-FR"/>
        </w:rPr>
        <w:t>caractérisant les équipements</w:t>
      </w:r>
      <w:r w:rsidR="00795158">
        <w:rPr>
          <w:rFonts w:cs="Arial"/>
          <w:lang w:val="fr-FR"/>
        </w:rPr>
        <w:t>,</w:t>
      </w:r>
      <w:r w:rsidR="0080277D" w:rsidRPr="00C8316D">
        <w:rPr>
          <w:rFonts w:cs="Arial"/>
          <w:lang w:val="fr-FR"/>
        </w:rPr>
        <w:t xml:space="preserve"> </w:t>
      </w:r>
      <w:r w:rsidRPr="00C8316D">
        <w:rPr>
          <w:rFonts w:cs="Arial"/>
          <w:lang w:val="fr-FR"/>
        </w:rPr>
        <w:t xml:space="preserve">permet d’estimer les émissions de fluides frigorigènes pour les huit domaines usuels d'application : </w:t>
      </w:r>
    </w:p>
    <w:p w:rsidR="00366A8F" w:rsidRPr="00C8316D" w:rsidRDefault="006251CE" w:rsidP="00366A8F">
      <w:pPr>
        <w:pStyle w:val="Paragraphedeliste"/>
        <w:numPr>
          <w:ilvl w:val="0"/>
          <w:numId w:val="4"/>
        </w:numPr>
        <w:jc w:val="both"/>
        <w:rPr>
          <w:rFonts w:cs="Arial"/>
          <w:lang w:val="fr-FR"/>
        </w:rPr>
      </w:pPr>
      <w:r w:rsidRPr="00C8316D">
        <w:rPr>
          <w:rFonts w:cs="Arial"/>
          <w:lang w:val="fr-FR"/>
        </w:rPr>
        <w:t xml:space="preserve">le froid domestique, </w:t>
      </w:r>
    </w:p>
    <w:p w:rsidR="00366A8F" w:rsidRPr="00C8316D" w:rsidRDefault="006251CE" w:rsidP="00366A8F">
      <w:pPr>
        <w:pStyle w:val="Paragraphedeliste"/>
        <w:numPr>
          <w:ilvl w:val="0"/>
          <w:numId w:val="4"/>
        </w:numPr>
        <w:jc w:val="both"/>
        <w:rPr>
          <w:rFonts w:cs="Arial"/>
          <w:lang w:val="fr-FR"/>
        </w:rPr>
      </w:pPr>
      <w:r w:rsidRPr="00C8316D">
        <w:rPr>
          <w:rFonts w:cs="Arial"/>
          <w:lang w:val="fr-FR"/>
        </w:rPr>
        <w:t xml:space="preserve">le froid commercial, </w:t>
      </w:r>
    </w:p>
    <w:p w:rsidR="00366A8F" w:rsidRPr="00C8316D" w:rsidRDefault="006251CE" w:rsidP="00366A8F">
      <w:pPr>
        <w:pStyle w:val="Paragraphedeliste"/>
        <w:numPr>
          <w:ilvl w:val="0"/>
          <w:numId w:val="4"/>
        </w:numPr>
        <w:jc w:val="both"/>
        <w:rPr>
          <w:rFonts w:cs="Arial"/>
          <w:lang w:val="fr-FR"/>
        </w:rPr>
      </w:pPr>
      <w:r w:rsidRPr="00C8316D">
        <w:rPr>
          <w:rFonts w:cs="Arial"/>
          <w:lang w:val="fr-FR"/>
        </w:rPr>
        <w:t xml:space="preserve">les transports frigorifiques, </w:t>
      </w:r>
    </w:p>
    <w:p w:rsidR="00366A8F" w:rsidRPr="00C8316D" w:rsidRDefault="006251CE" w:rsidP="00366A8F">
      <w:pPr>
        <w:pStyle w:val="Paragraphedeliste"/>
        <w:numPr>
          <w:ilvl w:val="0"/>
          <w:numId w:val="4"/>
        </w:numPr>
        <w:jc w:val="both"/>
        <w:rPr>
          <w:rFonts w:cs="Arial"/>
          <w:lang w:val="fr-FR"/>
        </w:rPr>
      </w:pPr>
      <w:r w:rsidRPr="00C8316D">
        <w:rPr>
          <w:rFonts w:cs="Arial"/>
          <w:lang w:val="fr-FR"/>
        </w:rPr>
        <w:t>le froid industriel (froid pour les industries agroalimentaires et froid pour les autres applications industrielles, à l'exclusion des groupes refroidisseurs d'eau),</w:t>
      </w:r>
    </w:p>
    <w:p w:rsidR="00906943" w:rsidRPr="00C8316D" w:rsidRDefault="00906943" w:rsidP="00366A8F">
      <w:pPr>
        <w:pStyle w:val="Paragraphedeliste"/>
        <w:numPr>
          <w:ilvl w:val="0"/>
          <w:numId w:val="4"/>
        </w:numPr>
        <w:jc w:val="both"/>
        <w:rPr>
          <w:rFonts w:cs="Arial"/>
          <w:lang w:val="fr-FR"/>
        </w:rPr>
      </w:pPr>
      <w:r w:rsidRPr="00C8316D">
        <w:rPr>
          <w:rFonts w:cs="Arial"/>
          <w:lang w:val="fr-FR"/>
        </w:rPr>
        <w:t>la climatisation fixe,</w:t>
      </w:r>
    </w:p>
    <w:p w:rsidR="00366A8F" w:rsidRPr="00C8316D" w:rsidRDefault="006251CE" w:rsidP="00366A8F">
      <w:pPr>
        <w:pStyle w:val="Paragraphedeliste"/>
        <w:numPr>
          <w:ilvl w:val="0"/>
          <w:numId w:val="4"/>
        </w:numPr>
        <w:jc w:val="both"/>
        <w:rPr>
          <w:rFonts w:cs="Arial"/>
          <w:lang w:val="fr-FR"/>
        </w:rPr>
      </w:pPr>
      <w:r w:rsidRPr="00C8316D">
        <w:rPr>
          <w:rFonts w:cs="Arial"/>
          <w:lang w:val="fr-FR"/>
        </w:rPr>
        <w:t>les g</w:t>
      </w:r>
      <w:r w:rsidR="00906943" w:rsidRPr="00C8316D">
        <w:rPr>
          <w:rFonts w:cs="Arial"/>
          <w:lang w:val="fr-FR"/>
        </w:rPr>
        <w:t>roupes refroidisseurs d'eau,</w:t>
      </w:r>
    </w:p>
    <w:p w:rsidR="00366A8F" w:rsidRPr="00C8316D" w:rsidRDefault="006251CE" w:rsidP="00366A8F">
      <w:pPr>
        <w:pStyle w:val="Paragraphedeliste"/>
        <w:numPr>
          <w:ilvl w:val="0"/>
          <w:numId w:val="4"/>
        </w:numPr>
        <w:jc w:val="both"/>
        <w:rPr>
          <w:rFonts w:cs="Arial"/>
          <w:lang w:val="fr-FR"/>
        </w:rPr>
      </w:pPr>
      <w:r w:rsidRPr="00C8316D">
        <w:rPr>
          <w:rFonts w:cs="Arial"/>
          <w:lang w:val="fr-FR"/>
        </w:rPr>
        <w:t xml:space="preserve">la climatisation mobile </w:t>
      </w:r>
    </w:p>
    <w:p w:rsidR="00366A8F" w:rsidRPr="00C8316D" w:rsidRDefault="006251CE" w:rsidP="00366A8F">
      <w:pPr>
        <w:pStyle w:val="Paragraphedeliste"/>
        <w:numPr>
          <w:ilvl w:val="0"/>
          <w:numId w:val="4"/>
        </w:numPr>
        <w:jc w:val="both"/>
        <w:rPr>
          <w:rFonts w:cs="Arial"/>
          <w:lang w:val="fr-FR"/>
        </w:rPr>
      </w:pPr>
      <w:r w:rsidRPr="00C8316D">
        <w:rPr>
          <w:rFonts w:cs="Arial"/>
          <w:lang w:val="fr-FR"/>
        </w:rPr>
        <w:t>et, depuis les inventaires 2005, les pompes à chaleur résidentielles.</w:t>
      </w:r>
    </w:p>
    <w:p w:rsidR="006251CE" w:rsidRPr="00C8316D" w:rsidRDefault="00366A8F" w:rsidP="00366A8F">
      <w:pPr>
        <w:jc w:val="both"/>
        <w:rPr>
          <w:rFonts w:cs="Arial"/>
          <w:lang w:val="fr-FR"/>
        </w:rPr>
      </w:pPr>
      <w:r w:rsidRPr="00C8316D">
        <w:rPr>
          <w:rFonts w:cs="Arial"/>
          <w:lang w:val="fr-FR"/>
        </w:rPr>
        <w:t xml:space="preserve">Une base de données est propre à un pays, région ou territoire. Elle rassemble, pour 38 sous-secteurs formant les huit domaines cités, les données permettant de reconstituer les parcs ou flottes d’équipements et </w:t>
      </w:r>
      <w:r w:rsidR="00906943" w:rsidRPr="00C8316D">
        <w:rPr>
          <w:rFonts w:cs="Arial"/>
          <w:lang w:val="fr-FR"/>
        </w:rPr>
        <w:t xml:space="preserve">les </w:t>
      </w:r>
      <w:r w:rsidRPr="00C8316D">
        <w:rPr>
          <w:rFonts w:cs="Arial"/>
          <w:lang w:val="fr-FR"/>
        </w:rPr>
        <w:t>caractéristiques nécessaires à l’estimation des banques et émissions.</w:t>
      </w:r>
    </w:p>
    <w:p w:rsidR="00366A8F" w:rsidRPr="00C8316D" w:rsidRDefault="00366A8F" w:rsidP="006251CE">
      <w:pPr>
        <w:jc w:val="both"/>
        <w:rPr>
          <w:rFonts w:cs="Arial"/>
          <w:lang w:val="fr-FR"/>
        </w:rPr>
      </w:pPr>
    </w:p>
    <w:p w:rsidR="00366A8F" w:rsidRPr="00C8316D" w:rsidRDefault="00A43444" w:rsidP="00366A8F">
      <w:pPr>
        <w:pStyle w:val="Titre2"/>
        <w:rPr>
          <w:lang w:val="fr-FR"/>
        </w:rPr>
      </w:pPr>
      <w:bookmarkStart w:id="6" w:name="_Toc310855632"/>
      <w:r>
        <w:rPr>
          <w:lang w:val="fr-FR"/>
        </w:rPr>
        <w:t>2.1</w:t>
      </w:r>
      <w:r w:rsidR="00366A8F" w:rsidRPr="00C8316D">
        <w:rPr>
          <w:lang w:val="fr-FR"/>
        </w:rPr>
        <w:t xml:space="preserve"> Rappel de la méthode </w:t>
      </w:r>
      <w:r w:rsidR="00192718" w:rsidRPr="00C8316D">
        <w:rPr>
          <w:lang w:val="fr-FR"/>
        </w:rPr>
        <w:t xml:space="preserve">générale </w:t>
      </w:r>
      <w:r w:rsidR="00366A8F" w:rsidRPr="00C8316D">
        <w:rPr>
          <w:lang w:val="fr-FR"/>
        </w:rPr>
        <w:t xml:space="preserve">de calcul </w:t>
      </w:r>
      <w:bookmarkEnd w:id="6"/>
    </w:p>
    <w:p w:rsidR="00366A8F" w:rsidRPr="00C8316D" w:rsidRDefault="00366A8F" w:rsidP="00366A8F">
      <w:pPr>
        <w:jc w:val="both"/>
        <w:rPr>
          <w:rFonts w:cs="Arial"/>
          <w:lang w:val="fr-FR"/>
        </w:rPr>
      </w:pPr>
      <w:r w:rsidRPr="00C8316D">
        <w:rPr>
          <w:rFonts w:cs="Arial"/>
          <w:lang w:val="fr-FR"/>
        </w:rPr>
        <w:t>La méthode de calcul et ses évolutions sont présentées en détails dans les rapports annuels d’Inventaires France [</w:t>
      </w:r>
      <w:r w:rsidR="00C82C3B" w:rsidRPr="00C8316D">
        <w:rPr>
          <w:rFonts w:cs="Arial"/>
          <w:lang w:val="fr-FR"/>
        </w:rPr>
        <w:t>BAR11</w:t>
      </w:r>
      <w:r w:rsidRPr="00C8316D">
        <w:rPr>
          <w:rFonts w:cs="Arial"/>
          <w:lang w:val="fr-FR"/>
        </w:rPr>
        <w:t>]. La méthode d'inventaires utilisée est la méthode dite "Tier 2a" définie dans le document IPCC 2006 et conforme ainsi au cahier des charges. Elle prend en compte :</w:t>
      </w:r>
    </w:p>
    <w:p w:rsidR="00366A8F" w:rsidRPr="00C8316D" w:rsidRDefault="00366A8F" w:rsidP="00366A8F">
      <w:pPr>
        <w:pStyle w:val="Paragraphedeliste"/>
        <w:numPr>
          <w:ilvl w:val="0"/>
          <w:numId w:val="7"/>
        </w:numPr>
        <w:spacing w:after="0" w:line="240" w:lineRule="auto"/>
        <w:jc w:val="both"/>
        <w:rPr>
          <w:rFonts w:cs="Arial"/>
          <w:lang w:val="fr-FR"/>
        </w:rPr>
      </w:pPr>
      <w:r w:rsidRPr="00C8316D">
        <w:rPr>
          <w:rFonts w:cs="Arial"/>
          <w:lang w:val="fr-FR"/>
        </w:rPr>
        <w:t>d'une part, les données d'activité que sont la reconstitution de l'ensemble des parcs d'équipements incluant leur durée de vie, le choix des types de fluides frigorigènes, les charges typiques de chaque type d'équipement, le rôle des réglementations qui entraînent la modification du choix des fluides frigorigènes ;</w:t>
      </w:r>
    </w:p>
    <w:p w:rsidR="00366A8F" w:rsidRPr="00C8316D" w:rsidRDefault="00366A8F" w:rsidP="00366A8F">
      <w:pPr>
        <w:pStyle w:val="Paragraphedeliste"/>
        <w:spacing w:after="0" w:line="240" w:lineRule="auto"/>
        <w:jc w:val="both"/>
        <w:rPr>
          <w:rFonts w:cs="Arial"/>
          <w:lang w:val="fr-FR"/>
        </w:rPr>
      </w:pPr>
    </w:p>
    <w:p w:rsidR="00366A8F" w:rsidRPr="00C8316D" w:rsidRDefault="00366A8F" w:rsidP="00366A8F">
      <w:pPr>
        <w:pStyle w:val="Paragraphedeliste"/>
        <w:numPr>
          <w:ilvl w:val="0"/>
          <w:numId w:val="7"/>
        </w:numPr>
        <w:spacing w:after="0" w:line="240" w:lineRule="auto"/>
        <w:jc w:val="both"/>
        <w:rPr>
          <w:rFonts w:cs="Arial"/>
          <w:lang w:val="fr-FR"/>
        </w:rPr>
      </w:pPr>
      <w:r w:rsidRPr="00C8316D">
        <w:rPr>
          <w:rFonts w:cs="Arial"/>
          <w:lang w:val="fr-FR"/>
        </w:rPr>
        <w:t>d'autre part, les facteurs d'émissions qui prennent en compte les émissions tout au long du cycle de vie des équipements : émissions dues à la gestion des parcs de bouteilles sous pression qui contiennent les fluides frigorigènes et qui vont et viennent entre les distributeurs et les utilisateurs, les pertes à la charge initiale, les émissions fugitives, les accidents et les ruptures, les pertes lors de la maintenance et les pertes lors de la mise au rebut des équipements en fin de vie.</w:t>
      </w:r>
    </w:p>
    <w:p w:rsidR="00366A8F" w:rsidRPr="00C8316D" w:rsidRDefault="00366A8F" w:rsidP="00366A8F">
      <w:pPr>
        <w:pStyle w:val="Paragraphedeliste"/>
        <w:spacing w:after="0" w:line="240" w:lineRule="auto"/>
        <w:jc w:val="both"/>
        <w:rPr>
          <w:rFonts w:cs="Arial"/>
          <w:lang w:val="fr-FR"/>
        </w:rPr>
      </w:pPr>
    </w:p>
    <w:p w:rsidR="00366A8F" w:rsidRPr="00C8316D" w:rsidRDefault="00366A8F" w:rsidP="00366A8F">
      <w:pPr>
        <w:jc w:val="both"/>
        <w:rPr>
          <w:rFonts w:cs="Arial"/>
          <w:lang w:val="fr-FR"/>
        </w:rPr>
      </w:pPr>
      <w:r w:rsidRPr="00C8316D">
        <w:rPr>
          <w:rFonts w:cs="Arial"/>
          <w:noProof/>
          <w:lang w:val="fr-FR" w:eastAsia="fr-FR" w:bidi="ar-SA"/>
        </w:rPr>
        <w:lastRenderedPageBreak/>
        <w:drawing>
          <wp:inline distT="0" distB="0" distL="0" distR="0">
            <wp:extent cx="5760720" cy="3465864"/>
            <wp:effectExtent l="19050" t="19050" r="11430" b="20286"/>
            <wp:docPr id="4" name="Image 2"/>
            <wp:cNvGraphicFramePr/>
            <a:graphic xmlns:a="http://schemas.openxmlformats.org/drawingml/2006/main">
              <a:graphicData uri="http://schemas.openxmlformats.org/drawingml/2006/picture">
                <pic:pic xmlns:pic="http://schemas.openxmlformats.org/drawingml/2006/picture">
                  <pic:nvPicPr>
                    <pic:cNvPr id="4" name="Objet 1"/>
                    <pic:cNvPicPr/>
                  </pic:nvPicPr>
                  <pic:blipFill>
                    <a:blip r:embed="rId11" cstate="print"/>
                    <a:srcRect t="-476" b="-656"/>
                    <a:stretch>
                      <a:fillRect/>
                    </a:stretch>
                  </pic:blipFill>
                  <pic:spPr bwMode="auto">
                    <a:xfrm>
                      <a:off x="0" y="0"/>
                      <a:ext cx="5760720" cy="3465864"/>
                    </a:xfrm>
                    <a:prstGeom prst="rect">
                      <a:avLst/>
                    </a:prstGeom>
                    <a:noFill/>
                    <a:ln w="6350" cmpd="sng">
                      <a:solidFill>
                        <a:srgbClr val="000000"/>
                      </a:solidFill>
                      <a:miter lim="800000"/>
                      <a:headEnd/>
                      <a:tailEnd/>
                    </a:ln>
                    <a:effectLst/>
                  </pic:spPr>
                </pic:pic>
              </a:graphicData>
            </a:graphic>
          </wp:inline>
        </w:drawing>
      </w:r>
    </w:p>
    <w:p w:rsidR="00366A8F" w:rsidRPr="00C8316D" w:rsidRDefault="00366A8F" w:rsidP="007A34EA">
      <w:pPr>
        <w:pStyle w:val="Sous-titre"/>
        <w:spacing w:after="100"/>
        <w:jc w:val="center"/>
        <w:rPr>
          <w:sz w:val="22"/>
          <w:szCs w:val="22"/>
          <w:lang w:val="fr-FR"/>
        </w:rPr>
      </w:pPr>
      <w:r w:rsidRPr="00C8316D">
        <w:rPr>
          <w:lang w:val="fr-FR"/>
        </w:rPr>
        <w:t>Figure 1 – Méthode de calcul implantée dans RIEP</w:t>
      </w:r>
    </w:p>
    <w:p w:rsidR="00366A8F" w:rsidRPr="00C8316D" w:rsidRDefault="00366A8F" w:rsidP="00366A8F">
      <w:pPr>
        <w:jc w:val="both"/>
        <w:rPr>
          <w:rFonts w:cs="Arial"/>
          <w:lang w:val="fr-FR"/>
        </w:rPr>
      </w:pPr>
      <w:r w:rsidRPr="00C8316D">
        <w:rPr>
          <w:rFonts w:cs="Arial"/>
          <w:lang w:val="fr-FR"/>
        </w:rPr>
        <w:t xml:space="preserve">De plus, pour assurer le contrôle de la qualité des données, les besoins de fluides frigorigènes (la demande) correspondant à la charge des équipements neufs et aux besoins de fluides pour la maintenance du parc des équipements en fonctionnement sont reconstitués. La somme de ces deux groupes de résultats constitue la demande annuelle pour chaque type de fluide frigorigène qui peut être comparée aux marchés déclarés par les distributeurs et producteurs. </w:t>
      </w:r>
      <w:r w:rsidR="0038765E">
        <w:rPr>
          <w:rFonts w:cs="Arial"/>
          <w:lang w:val="fr-FR"/>
        </w:rPr>
        <w:t>Pour</w:t>
      </w:r>
      <w:r w:rsidRPr="00C8316D">
        <w:rPr>
          <w:rFonts w:cs="Arial"/>
          <w:lang w:val="fr-FR"/>
        </w:rPr>
        <w:t xml:space="preserve"> la métropole, les résultats de calculs </w:t>
      </w:r>
      <w:r w:rsidR="0038765E">
        <w:rPr>
          <w:rFonts w:cs="Arial"/>
          <w:lang w:val="fr-FR"/>
        </w:rPr>
        <w:t xml:space="preserve">des </w:t>
      </w:r>
      <w:r w:rsidR="0038765E" w:rsidRPr="0038765E">
        <w:rPr>
          <w:rFonts w:cs="Arial"/>
          <w:b/>
          <w:lang w:val="fr-FR"/>
        </w:rPr>
        <w:t>demandes</w:t>
      </w:r>
      <w:r w:rsidR="0038765E">
        <w:rPr>
          <w:rFonts w:cs="Arial"/>
          <w:lang w:val="fr-FR"/>
        </w:rPr>
        <w:t xml:space="preserve"> de fluides frigorigènes </w:t>
      </w:r>
      <w:r w:rsidRPr="00C8316D">
        <w:rPr>
          <w:rFonts w:cs="Arial"/>
          <w:lang w:val="fr-FR"/>
        </w:rPr>
        <w:t xml:space="preserve">sont comparés à la déclaration annuelle </w:t>
      </w:r>
      <w:r w:rsidR="0038765E">
        <w:rPr>
          <w:rFonts w:cs="Arial"/>
          <w:lang w:val="fr-FR"/>
        </w:rPr>
        <w:t xml:space="preserve">des </w:t>
      </w:r>
      <w:r w:rsidR="0038765E" w:rsidRPr="0038765E">
        <w:rPr>
          <w:rFonts w:cs="Arial"/>
          <w:b/>
          <w:lang w:val="fr-FR"/>
        </w:rPr>
        <w:t>ventes</w:t>
      </w:r>
      <w:r w:rsidR="0038765E">
        <w:rPr>
          <w:rFonts w:cs="Arial"/>
          <w:lang w:val="fr-FR"/>
        </w:rPr>
        <w:t xml:space="preserve"> des mêmes fluides frigorigènes </w:t>
      </w:r>
      <w:r w:rsidRPr="00C8316D">
        <w:rPr>
          <w:rFonts w:cs="Arial"/>
          <w:lang w:val="fr-FR"/>
        </w:rPr>
        <w:t xml:space="preserve">du SNEFCCA. </w:t>
      </w:r>
      <w:r w:rsidR="0038765E">
        <w:rPr>
          <w:rFonts w:cs="Arial"/>
          <w:lang w:val="fr-FR"/>
        </w:rPr>
        <w:t>Pour</w:t>
      </w:r>
      <w:r w:rsidRPr="00C8316D">
        <w:rPr>
          <w:rFonts w:cs="Arial"/>
          <w:lang w:val="fr-FR"/>
        </w:rPr>
        <w:t xml:space="preserve"> l’Outre-Mer, une enquête auprès des distributeurs locaux et des préfectures permettra de vérifier si ces informations sont disponibles et, le cas échéant, d’adopter une approche de validation comparable à celle utilisée pour la métropole. </w:t>
      </w:r>
    </w:p>
    <w:p w:rsidR="00366A8F" w:rsidRPr="00C8316D" w:rsidRDefault="00366A8F" w:rsidP="006251CE">
      <w:pPr>
        <w:jc w:val="both"/>
        <w:rPr>
          <w:rFonts w:cs="Arial"/>
          <w:lang w:val="fr-FR"/>
        </w:rPr>
      </w:pPr>
    </w:p>
    <w:p w:rsidR="00366A8F" w:rsidRPr="00C8316D" w:rsidRDefault="00366A8F" w:rsidP="00366A8F">
      <w:pPr>
        <w:pStyle w:val="Titre2"/>
        <w:rPr>
          <w:lang w:val="fr-FR"/>
        </w:rPr>
      </w:pPr>
      <w:bookmarkStart w:id="7" w:name="_Toc310855633"/>
      <w:r w:rsidRPr="00C8316D">
        <w:rPr>
          <w:lang w:val="fr-FR"/>
        </w:rPr>
        <w:t>2.</w:t>
      </w:r>
      <w:r w:rsidR="00906943" w:rsidRPr="00C8316D">
        <w:rPr>
          <w:lang w:val="fr-FR"/>
        </w:rPr>
        <w:t>2</w:t>
      </w:r>
      <w:r w:rsidR="00A43444">
        <w:rPr>
          <w:lang w:val="fr-FR"/>
        </w:rPr>
        <w:t xml:space="preserve"> </w:t>
      </w:r>
      <w:r w:rsidRPr="00C8316D">
        <w:rPr>
          <w:lang w:val="fr-FR"/>
        </w:rPr>
        <w:t>Approche utilisée pour les DOM COM</w:t>
      </w:r>
      <w:bookmarkEnd w:id="7"/>
    </w:p>
    <w:p w:rsidR="006251CE" w:rsidRPr="00C8316D" w:rsidRDefault="00366A8F" w:rsidP="006251CE">
      <w:pPr>
        <w:jc w:val="both"/>
        <w:rPr>
          <w:rFonts w:cs="Arial"/>
          <w:lang w:val="fr-FR"/>
        </w:rPr>
      </w:pPr>
      <w:r w:rsidRPr="00C8316D">
        <w:rPr>
          <w:rFonts w:cs="Arial"/>
          <w:lang w:val="fr-FR"/>
        </w:rPr>
        <w:t xml:space="preserve">La méthode de calcul </w:t>
      </w:r>
      <w:r w:rsidR="00795158">
        <w:rPr>
          <w:rFonts w:cs="Arial"/>
          <w:lang w:val="fr-FR"/>
        </w:rPr>
        <w:t>résumée section</w:t>
      </w:r>
      <w:r w:rsidR="00906943" w:rsidRPr="00C8316D">
        <w:rPr>
          <w:rFonts w:cs="Arial"/>
          <w:lang w:val="fr-FR"/>
        </w:rPr>
        <w:t xml:space="preserve"> 2.1 </w:t>
      </w:r>
      <w:r w:rsidR="00566029">
        <w:rPr>
          <w:rFonts w:cs="Arial"/>
          <w:lang w:val="fr-FR"/>
        </w:rPr>
        <w:t>est</w:t>
      </w:r>
      <w:r w:rsidRPr="00C8316D">
        <w:rPr>
          <w:rFonts w:cs="Arial"/>
          <w:lang w:val="fr-FR"/>
        </w:rPr>
        <w:t xml:space="preserve"> </w:t>
      </w:r>
      <w:r w:rsidR="00906943" w:rsidRPr="00C8316D">
        <w:rPr>
          <w:rFonts w:cs="Arial"/>
          <w:lang w:val="fr-FR"/>
        </w:rPr>
        <w:t>appliquée également</w:t>
      </w:r>
      <w:r w:rsidRPr="00C8316D">
        <w:rPr>
          <w:rFonts w:cs="Arial"/>
          <w:lang w:val="fr-FR"/>
        </w:rPr>
        <w:t xml:space="preserve"> </w:t>
      </w:r>
      <w:r w:rsidR="00906943" w:rsidRPr="00C8316D">
        <w:rPr>
          <w:rFonts w:cs="Arial"/>
          <w:lang w:val="fr-FR"/>
        </w:rPr>
        <w:t>aux</w:t>
      </w:r>
      <w:r w:rsidRPr="00C8316D">
        <w:rPr>
          <w:rFonts w:cs="Arial"/>
          <w:lang w:val="fr-FR"/>
        </w:rPr>
        <w:t xml:space="preserve"> DOM COM</w:t>
      </w:r>
      <w:r w:rsidR="00906943" w:rsidRPr="00C8316D">
        <w:rPr>
          <w:rFonts w:cs="Arial"/>
          <w:lang w:val="fr-FR"/>
        </w:rPr>
        <w:t xml:space="preserve"> pour en réaliser les inventaires</w:t>
      </w:r>
      <w:r w:rsidRPr="00C8316D">
        <w:rPr>
          <w:rFonts w:cs="Arial"/>
          <w:lang w:val="fr-FR"/>
        </w:rPr>
        <w:t xml:space="preserve">. Le logiciel RIEP </w:t>
      </w:r>
      <w:r w:rsidR="00566029">
        <w:rPr>
          <w:rFonts w:cs="Arial"/>
          <w:lang w:val="fr-FR"/>
        </w:rPr>
        <w:t>est</w:t>
      </w:r>
      <w:r w:rsidRPr="00C8316D">
        <w:rPr>
          <w:rFonts w:cs="Arial"/>
          <w:lang w:val="fr-FR"/>
        </w:rPr>
        <w:t xml:space="preserve"> couplé à</w:t>
      </w:r>
      <w:r w:rsidR="00906943" w:rsidRPr="00C8316D">
        <w:rPr>
          <w:rFonts w:cs="Arial"/>
          <w:lang w:val="fr-FR"/>
        </w:rPr>
        <w:t xml:space="preserve"> une ou</w:t>
      </w:r>
      <w:r w:rsidRPr="00C8316D">
        <w:rPr>
          <w:rFonts w:cs="Arial"/>
          <w:lang w:val="fr-FR"/>
        </w:rPr>
        <w:t xml:space="preserve"> des bases de données caractérisant les équipements de</w:t>
      </w:r>
      <w:r w:rsidR="00906943" w:rsidRPr="00C8316D">
        <w:rPr>
          <w:rFonts w:cs="Arial"/>
          <w:lang w:val="fr-FR"/>
        </w:rPr>
        <w:t>s</w:t>
      </w:r>
      <w:r w:rsidRPr="00C8316D">
        <w:rPr>
          <w:rFonts w:cs="Arial"/>
          <w:lang w:val="fr-FR"/>
        </w:rPr>
        <w:t xml:space="preserve"> territoire</w:t>
      </w:r>
      <w:r w:rsidR="00906943" w:rsidRPr="00C8316D">
        <w:rPr>
          <w:rFonts w:cs="Arial"/>
          <w:lang w:val="fr-FR"/>
        </w:rPr>
        <w:t>s</w:t>
      </w:r>
      <w:r w:rsidRPr="00C8316D">
        <w:rPr>
          <w:rFonts w:cs="Arial"/>
          <w:lang w:val="fr-FR"/>
        </w:rPr>
        <w:t>.</w:t>
      </w:r>
      <w:r w:rsidR="00906943" w:rsidRPr="00C8316D">
        <w:rPr>
          <w:rFonts w:cs="Arial"/>
          <w:lang w:val="fr-FR"/>
        </w:rPr>
        <w:t xml:space="preserve"> L’alimentation des bases de données nécessite un travail d’enquête qui sera réalisé et enrichi progressivement au fur et à mesure des prochaines études d’inventaires. L</w:t>
      </w:r>
      <w:r w:rsidRPr="00C8316D">
        <w:rPr>
          <w:rFonts w:cs="Arial"/>
          <w:lang w:val="fr-FR"/>
        </w:rPr>
        <w:t>’ensemble des données nécessaires aux calculs et regroupé dans les bases de données est constitué</w:t>
      </w:r>
      <w:r w:rsidR="006251CE" w:rsidRPr="00C8316D">
        <w:rPr>
          <w:rFonts w:cs="Arial"/>
          <w:lang w:val="fr-FR"/>
        </w:rPr>
        <w:t xml:space="preserve">, pour </w:t>
      </w:r>
      <w:r w:rsidR="0080277D" w:rsidRPr="00C8316D">
        <w:rPr>
          <w:rFonts w:cs="Arial"/>
          <w:lang w:val="fr-FR"/>
        </w:rPr>
        <w:t>38</w:t>
      </w:r>
      <w:r w:rsidR="006251CE" w:rsidRPr="00C8316D">
        <w:rPr>
          <w:rFonts w:cs="Arial"/>
          <w:lang w:val="fr-FR"/>
        </w:rPr>
        <w:t xml:space="preserve"> sous-secteurs formant les huit domaines </w:t>
      </w:r>
      <w:r w:rsidRPr="00C8316D">
        <w:rPr>
          <w:rFonts w:cs="Arial"/>
          <w:lang w:val="fr-FR"/>
        </w:rPr>
        <w:t>d’équipements</w:t>
      </w:r>
      <w:r w:rsidR="006251CE" w:rsidRPr="00C8316D">
        <w:rPr>
          <w:rFonts w:cs="Arial"/>
          <w:lang w:val="fr-FR"/>
        </w:rPr>
        <w:t xml:space="preserve">, des données </w:t>
      </w:r>
      <w:r w:rsidRPr="00C8316D">
        <w:rPr>
          <w:rFonts w:cs="Arial"/>
          <w:lang w:val="fr-FR"/>
        </w:rPr>
        <w:t>suivantes</w:t>
      </w:r>
      <w:r w:rsidR="006251CE" w:rsidRPr="00C8316D">
        <w:rPr>
          <w:rFonts w:cs="Arial"/>
          <w:lang w:val="fr-FR"/>
        </w:rPr>
        <w:t> :</w:t>
      </w:r>
    </w:p>
    <w:p w:rsidR="006251CE" w:rsidRPr="00C8316D" w:rsidRDefault="00795158" w:rsidP="006251CE">
      <w:pPr>
        <w:pStyle w:val="Paragraphedeliste"/>
        <w:numPr>
          <w:ilvl w:val="0"/>
          <w:numId w:val="4"/>
        </w:numPr>
        <w:jc w:val="both"/>
        <w:rPr>
          <w:rFonts w:cs="Arial"/>
          <w:lang w:val="fr-FR"/>
        </w:rPr>
      </w:pPr>
      <w:r>
        <w:rPr>
          <w:rFonts w:cs="Arial"/>
          <w:lang w:val="fr-FR"/>
        </w:rPr>
        <w:t>l</w:t>
      </w:r>
      <w:r w:rsidR="006251CE" w:rsidRPr="00C8316D">
        <w:rPr>
          <w:rFonts w:cs="Arial"/>
          <w:lang w:val="fr-FR"/>
        </w:rPr>
        <w:t>es marchés et productions d’équipements par secteur</w:t>
      </w:r>
    </w:p>
    <w:p w:rsidR="006251CE" w:rsidRPr="00C8316D" w:rsidRDefault="00795158" w:rsidP="006251CE">
      <w:pPr>
        <w:pStyle w:val="Paragraphedeliste"/>
        <w:numPr>
          <w:ilvl w:val="0"/>
          <w:numId w:val="4"/>
        </w:numPr>
        <w:jc w:val="both"/>
        <w:rPr>
          <w:rFonts w:cs="Arial"/>
          <w:lang w:val="fr-FR"/>
        </w:rPr>
      </w:pPr>
      <w:r>
        <w:rPr>
          <w:rFonts w:cs="Arial"/>
          <w:lang w:val="fr-FR"/>
        </w:rPr>
        <w:t>l</w:t>
      </w:r>
      <w:r w:rsidR="006251CE" w:rsidRPr="00C8316D">
        <w:rPr>
          <w:rFonts w:cs="Arial"/>
          <w:lang w:val="fr-FR"/>
        </w:rPr>
        <w:t>es durées de vie des équipements</w:t>
      </w:r>
    </w:p>
    <w:p w:rsidR="006251CE" w:rsidRPr="00C8316D" w:rsidRDefault="00795158" w:rsidP="006251CE">
      <w:pPr>
        <w:pStyle w:val="Paragraphedeliste"/>
        <w:numPr>
          <w:ilvl w:val="0"/>
          <w:numId w:val="4"/>
        </w:numPr>
        <w:jc w:val="both"/>
        <w:rPr>
          <w:rFonts w:cs="Arial"/>
          <w:lang w:val="fr-FR"/>
        </w:rPr>
      </w:pPr>
      <w:r>
        <w:rPr>
          <w:rFonts w:cs="Arial"/>
          <w:lang w:val="fr-FR"/>
        </w:rPr>
        <w:t>l</w:t>
      </w:r>
      <w:r w:rsidR="006251CE" w:rsidRPr="00C8316D">
        <w:rPr>
          <w:rFonts w:cs="Arial"/>
          <w:lang w:val="fr-FR"/>
        </w:rPr>
        <w:t>es charges moyennes ou ratios de charges des équipements</w:t>
      </w:r>
    </w:p>
    <w:p w:rsidR="0080277D" w:rsidRPr="00C8316D" w:rsidRDefault="00795158" w:rsidP="006251CE">
      <w:pPr>
        <w:pStyle w:val="Paragraphedeliste"/>
        <w:numPr>
          <w:ilvl w:val="0"/>
          <w:numId w:val="4"/>
        </w:numPr>
        <w:jc w:val="both"/>
        <w:rPr>
          <w:rFonts w:cs="Arial"/>
          <w:lang w:val="fr-FR"/>
        </w:rPr>
      </w:pPr>
      <w:r>
        <w:rPr>
          <w:rFonts w:cs="Arial"/>
          <w:lang w:val="fr-FR"/>
        </w:rPr>
        <w:t>l</w:t>
      </w:r>
      <w:r w:rsidR="0080277D" w:rsidRPr="00C8316D">
        <w:rPr>
          <w:rFonts w:cs="Arial"/>
          <w:lang w:val="fr-FR"/>
        </w:rPr>
        <w:t>es taux d’émissions des équipements (neufs ou sur le parc, selon les secteurs)</w:t>
      </w:r>
    </w:p>
    <w:p w:rsidR="0080277D" w:rsidRPr="00C8316D" w:rsidRDefault="00795158" w:rsidP="006251CE">
      <w:pPr>
        <w:pStyle w:val="Paragraphedeliste"/>
        <w:numPr>
          <w:ilvl w:val="0"/>
          <w:numId w:val="4"/>
        </w:numPr>
        <w:jc w:val="both"/>
        <w:rPr>
          <w:rFonts w:cs="Arial"/>
          <w:lang w:val="fr-FR"/>
        </w:rPr>
      </w:pPr>
      <w:r>
        <w:rPr>
          <w:rFonts w:cs="Arial"/>
          <w:lang w:val="fr-FR"/>
        </w:rPr>
        <w:t>l</w:t>
      </w:r>
      <w:r w:rsidR="0080277D" w:rsidRPr="00C8316D">
        <w:rPr>
          <w:rFonts w:cs="Arial"/>
          <w:lang w:val="fr-FR"/>
        </w:rPr>
        <w:t>es efficacités de récupération en fin de vie de</w:t>
      </w:r>
      <w:r>
        <w:rPr>
          <w:rFonts w:cs="Arial"/>
          <w:lang w:val="fr-FR"/>
        </w:rPr>
        <w:t>s</w:t>
      </w:r>
      <w:r w:rsidR="0080277D" w:rsidRPr="00C8316D">
        <w:rPr>
          <w:rFonts w:cs="Arial"/>
          <w:lang w:val="fr-FR"/>
        </w:rPr>
        <w:t xml:space="preserve"> équipements (et à la maintenance, pour le secteur de la climatisation automobile)</w:t>
      </w:r>
    </w:p>
    <w:p w:rsidR="0080277D" w:rsidRPr="00C8316D" w:rsidRDefault="00795158" w:rsidP="006251CE">
      <w:pPr>
        <w:pStyle w:val="Paragraphedeliste"/>
        <w:numPr>
          <w:ilvl w:val="0"/>
          <w:numId w:val="4"/>
        </w:numPr>
        <w:jc w:val="both"/>
        <w:rPr>
          <w:rFonts w:cs="Arial"/>
          <w:lang w:val="fr-FR"/>
        </w:rPr>
      </w:pPr>
      <w:r>
        <w:rPr>
          <w:rFonts w:cs="Arial"/>
          <w:lang w:val="fr-FR"/>
        </w:rPr>
        <w:t>l</w:t>
      </w:r>
      <w:r w:rsidR="0080277D" w:rsidRPr="00C8316D">
        <w:rPr>
          <w:rFonts w:cs="Arial"/>
          <w:lang w:val="fr-FR"/>
        </w:rPr>
        <w:t>es fluides utilisés chaque année sur le marché neuf</w:t>
      </w:r>
    </w:p>
    <w:p w:rsidR="00C318DE" w:rsidRPr="00C8316D" w:rsidRDefault="00C15A37" w:rsidP="007A34EA">
      <w:pPr>
        <w:jc w:val="both"/>
        <w:rPr>
          <w:lang w:val="fr-FR"/>
        </w:rPr>
      </w:pPr>
      <w:r w:rsidRPr="00C8316D">
        <w:rPr>
          <w:lang w:val="fr-FR"/>
        </w:rPr>
        <w:lastRenderedPageBreak/>
        <w:t xml:space="preserve">Les premiers éléments de l’enquête ont montré que peu d’informations </w:t>
      </w:r>
      <w:r w:rsidR="007A34EA" w:rsidRPr="00C8316D">
        <w:rPr>
          <w:lang w:val="fr-FR"/>
        </w:rPr>
        <w:t>sont</w:t>
      </w:r>
      <w:r w:rsidRPr="00C8316D">
        <w:rPr>
          <w:lang w:val="fr-FR"/>
        </w:rPr>
        <w:t xml:space="preserve"> disponibles par territoire et qu’elles concernent quasi exclusivement les marchés ou parcs d’équipements. La </w:t>
      </w:r>
      <w:r w:rsidR="007A34EA" w:rsidRPr="00C8316D">
        <w:rPr>
          <w:lang w:val="fr-FR"/>
        </w:rPr>
        <w:t>majorité des hypothèses ci-dess</w:t>
      </w:r>
      <w:r w:rsidRPr="00C8316D">
        <w:rPr>
          <w:lang w:val="fr-FR"/>
        </w:rPr>
        <w:t>us seront donc estimées. Elles sont dépendantes à la fois de la réglementation et du niveau de richesse du territoire. Aussi, le classement d</w:t>
      </w:r>
      <w:r w:rsidR="0007150A" w:rsidRPr="00C8316D">
        <w:rPr>
          <w:lang w:val="fr-FR"/>
        </w:rPr>
        <w:t>es territoires en deux groupes</w:t>
      </w:r>
      <w:r w:rsidR="00EA7176">
        <w:rPr>
          <w:lang w:val="fr-FR"/>
        </w:rPr>
        <w:t>,</w:t>
      </w:r>
      <w:r w:rsidR="0007150A" w:rsidRPr="00C8316D">
        <w:rPr>
          <w:lang w:val="fr-FR"/>
        </w:rPr>
        <w:t> </w:t>
      </w:r>
      <w:r w:rsidR="00EA7176">
        <w:rPr>
          <w:lang w:val="fr-FR"/>
        </w:rPr>
        <w:t>proposé section 1.4, sera utilisé.</w:t>
      </w:r>
    </w:p>
    <w:p w:rsidR="007A34EA" w:rsidRPr="00C8316D" w:rsidRDefault="007A34EA" w:rsidP="007A34EA">
      <w:pPr>
        <w:pStyle w:val="Sous-titre"/>
        <w:spacing w:after="100"/>
        <w:jc w:val="center"/>
        <w:rPr>
          <w:sz w:val="22"/>
          <w:szCs w:val="22"/>
          <w:lang w:val="fr-FR"/>
        </w:rPr>
      </w:pPr>
      <w:r w:rsidRPr="00C8316D">
        <w:rPr>
          <w:lang w:val="fr-FR"/>
        </w:rPr>
        <w:t>Tableau 2 – regroupement des territoires utilise pour la definition des hypotheses et le calcul</w:t>
      </w:r>
    </w:p>
    <w:tbl>
      <w:tblPr>
        <w:tblStyle w:val="Grilledutableau"/>
        <w:tblW w:w="0" w:type="auto"/>
        <w:jc w:val="center"/>
        <w:tblInd w:w="3085" w:type="dxa"/>
        <w:tblLook w:val="04A0"/>
      </w:tblPr>
      <w:tblGrid>
        <w:gridCol w:w="1521"/>
        <w:gridCol w:w="4606"/>
      </w:tblGrid>
      <w:tr w:rsidR="007A34EA" w:rsidRPr="00192718" w:rsidTr="007A34EA">
        <w:trPr>
          <w:jc w:val="center"/>
        </w:trPr>
        <w:tc>
          <w:tcPr>
            <w:tcW w:w="1521" w:type="dxa"/>
          </w:tcPr>
          <w:p w:rsidR="007A34EA" w:rsidRPr="00C8316D" w:rsidRDefault="007A34EA" w:rsidP="007A34EA">
            <w:pPr>
              <w:jc w:val="both"/>
              <w:rPr>
                <w:color w:val="1F497D" w:themeColor="text2"/>
                <w:lang w:val="fr-FR"/>
              </w:rPr>
            </w:pPr>
            <w:r w:rsidRPr="00C8316D">
              <w:rPr>
                <w:b/>
                <w:color w:val="1F497D" w:themeColor="text2"/>
                <w:lang w:val="fr-FR"/>
              </w:rPr>
              <w:t>Groupe 1</w:t>
            </w:r>
          </w:p>
        </w:tc>
        <w:tc>
          <w:tcPr>
            <w:tcW w:w="4606" w:type="dxa"/>
          </w:tcPr>
          <w:p w:rsidR="007A34EA" w:rsidRPr="00C8316D" w:rsidRDefault="007A34EA" w:rsidP="007A34EA">
            <w:pPr>
              <w:jc w:val="both"/>
              <w:rPr>
                <w:color w:val="4F81BD" w:themeColor="accent1"/>
                <w:lang w:val="fr-FR"/>
              </w:rPr>
            </w:pPr>
            <w:r w:rsidRPr="00C8316D">
              <w:rPr>
                <w:b/>
                <w:color w:val="4F81BD" w:themeColor="accent1"/>
                <w:lang w:val="fr-FR"/>
              </w:rPr>
              <w:t>Réunion, Martinique, Guyane, St Pierre et Miquelon</w:t>
            </w:r>
            <w:r w:rsidRPr="00C8316D">
              <w:rPr>
                <w:color w:val="4F81BD" w:themeColor="accent1"/>
                <w:lang w:val="fr-FR"/>
              </w:rPr>
              <w:t xml:space="preserve"> et </w:t>
            </w:r>
            <w:r w:rsidRPr="00C8316D">
              <w:rPr>
                <w:b/>
                <w:color w:val="4F81BD" w:themeColor="accent1"/>
                <w:lang w:val="fr-FR"/>
              </w:rPr>
              <w:t xml:space="preserve">Guadeloupe, </w:t>
            </w:r>
            <w:r w:rsidRPr="00C8316D">
              <w:rPr>
                <w:color w:val="4F81BD" w:themeColor="accent1"/>
                <w:lang w:val="fr-FR"/>
              </w:rPr>
              <w:t>incluant</w:t>
            </w:r>
            <w:r w:rsidRPr="00C8316D">
              <w:rPr>
                <w:b/>
                <w:color w:val="4F81BD" w:themeColor="accent1"/>
                <w:lang w:val="fr-FR"/>
              </w:rPr>
              <w:t xml:space="preserve"> </w:t>
            </w:r>
            <w:r w:rsidRPr="00C8316D">
              <w:rPr>
                <w:color w:val="4F81BD" w:themeColor="accent1"/>
                <w:lang w:val="fr-FR"/>
              </w:rPr>
              <w:t>Saint Barthélémy et Saint Martin</w:t>
            </w:r>
          </w:p>
        </w:tc>
      </w:tr>
      <w:tr w:rsidR="007A34EA" w:rsidRPr="00192718" w:rsidTr="007A34EA">
        <w:trPr>
          <w:jc w:val="center"/>
        </w:trPr>
        <w:tc>
          <w:tcPr>
            <w:tcW w:w="1521" w:type="dxa"/>
          </w:tcPr>
          <w:p w:rsidR="007A34EA" w:rsidRPr="00C8316D" w:rsidRDefault="007A34EA" w:rsidP="007A34EA">
            <w:pPr>
              <w:jc w:val="both"/>
              <w:rPr>
                <w:color w:val="1F497D" w:themeColor="text2"/>
                <w:lang w:val="fr-FR"/>
              </w:rPr>
            </w:pPr>
            <w:r w:rsidRPr="00C8316D">
              <w:rPr>
                <w:b/>
                <w:color w:val="1F497D" w:themeColor="text2"/>
                <w:lang w:val="fr-FR"/>
              </w:rPr>
              <w:t>Groupe 2</w:t>
            </w:r>
          </w:p>
        </w:tc>
        <w:tc>
          <w:tcPr>
            <w:tcW w:w="4606" w:type="dxa"/>
          </w:tcPr>
          <w:p w:rsidR="007A34EA" w:rsidRPr="00C8316D" w:rsidRDefault="007A34EA" w:rsidP="007A34EA">
            <w:pPr>
              <w:jc w:val="both"/>
              <w:rPr>
                <w:color w:val="4F81BD" w:themeColor="accent1"/>
                <w:lang w:val="fr-FR"/>
              </w:rPr>
            </w:pPr>
            <w:r w:rsidRPr="00C8316D">
              <w:rPr>
                <w:b/>
                <w:color w:val="4F81BD" w:themeColor="accent1"/>
                <w:lang w:val="fr-FR"/>
              </w:rPr>
              <w:t>Polynésie, Wallis et Futuna, Nouvelle-Calédonie</w:t>
            </w:r>
            <w:r w:rsidRPr="00C8316D">
              <w:rPr>
                <w:color w:val="4F81BD" w:themeColor="accent1"/>
                <w:lang w:val="fr-FR"/>
              </w:rPr>
              <w:t xml:space="preserve"> et </w:t>
            </w:r>
            <w:r w:rsidRPr="00C8316D">
              <w:rPr>
                <w:b/>
                <w:color w:val="4F81BD" w:themeColor="accent1"/>
                <w:lang w:val="fr-FR"/>
              </w:rPr>
              <w:t>Mayotte</w:t>
            </w:r>
          </w:p>
        </w:tc>
      </w:tr>
    </w:tbl>
    <w:p w:rsidR="00CD4914" w:rsidRPr="00C8316D" w:rsidRDefault="007A34EA" w:rsidP="007A34EA">
      <w:pPr>
        <w:jc w:val="both"/>
        <w:rPr>
          <w:lang w:val="fr-FR"/>
        </w:rPr>
      </w:pPr>
      <w:r w:rsidRPr="00C8316D">
        <w:rPr>
          <w:lang w:val="fr-FR"/>
        </w:rPr>
        <w:t>Les différentes hypothèses seront définies pou</w:t>
      </w:r>
      <w:r w:rsidR="00C15A37" w:rsidRPr="00C8316D">
        <w:rPr>
          <w:lang w:val="fr-FR"/>
        </w:rPr>
        <w:t>r</w:t>
      </w:r>
      <w:r w:rsidRPr="00C8316D">
        <w:rPr>
          <w:lang w:val="fr-FR"/>
        </w:rPr>
        <w:t xml:space="preserve"> chaque</w:t>
      </w:r>
      <w:r w:rsidR="00C15A37" w:rsidRPr="00C8316D">
        <w:rPr>
          <w:lang w:val="fr-FR"/>
        </w:rPr>
        <w:t xml:space="preserve"> groupe</w:t>
      </w:r>
      <w:r w:rsidRPr="00C8316D">
        <w:rPr>
          <w:lang w:val="fr-FR"/>
        </w:rPr>
        <w:t xml:space="preserve"> et alimenteront une base de données</w:t>
      </w:r>
      <w:r w:rsidR="00C15A37" w:rsidRPr="00C8316D">
        <w:rPr>
          <w:lang w:val="fr-FR"/>
        </w:rPr>
        <w:t>. En revanche, l</w:t>
      </w:r>
      <w:r w:rsidR="0007150A" w:rsidRPr="00C8316D">
        <w:rPr>
          <w:lang w:val="fr-FR"/>
        </w:rPr>
        <w:t>es marchés par secteur seront recherchés ou estimés par territoire. Le calcul ser</w:t>
      </w:r>
      <w:r w:rsidR="00C15A37" w:rsidRPr="00C8316D">
        <w:rPr>
          <w:lang w:val="fr-FR"/>
        </w:rPr>
        <w:t>a réalisé pour la somme</w:t>
      </w:r>
      <w:r w:rsidR="0007150A" w:rsidRPr="00C8316D">
        <w:rPr>
          <w:lang w:val="fr-FR"/>
        </w:rPr>
        <w:t xml:space="preserve"> des marchés des différents </w:t>
      </w:r>
      <w:r w:rsidRPr="00C8316D">
        <w:rPr>
          <w:lang w:val="fr-FR"/>
        </w:rPr>
        <w:t>territoires composant le groupe, pour deux bases de données ainsi définies. Les résultats des deux calculs seront alors répartis sur les diff</w:t>
      </w:r>
      <w:r w:rsidR="00EA7176">
        <w:rPr>
          <w:lang w:val="fr-FR"/>
        </w:rPr>
        <w:t>é</w:t>
      </w:r>
      <w:r w:rsidRPr="00C8316D">
        <w:rPr>
          <w:lang w:val="fr-FR"/>
        </w:rPr>
        <w:t>rent</w:t>
      </w:r>
      <w:r w:rsidR="00EA7176">
        <w:rPr>
          <w:lang w:val="fr-FR"/>
        </w:rPr>
        <w:t>s</w:t>
      </w:r>
      <w:r w:rsidRPr="00C8316D">
        <w:rPr>
          <w:lang w:val="fr-FR"/>
        </w:rPr>
        <w:t xml:space="preserve"> </w:t>
      </w:r>
      <w:r w:rsidR="004D7ADE" w:rsidRPr="00C8316D">
        <w:rPr>
          <w:lang w:val="fr-FR"/>
        </w:rPr>
        <w:t>territoire</w:t>
      </w:r>
      <w:r w:rsidRPr="00C8316D">
        <w:rPr>
          <w:lang w:val="fr-FR"/>
        </w:rPr>
        <w:t xml:space="preserve">s au </w:t>
      </w:r>
      <w:r w:rsidR="004D7ADE" w:rsidRPr="00C8316D">
        <w:rPr>
          <w:lang w:val="fr-FR"/>
        </w:rPr>
        <w:t>prorata</w:t>
      </w:r>
      <w:r w:rsidRPr="00C8316D">
        <w:rPr>
          <w:lang w:val="fr-FR"/>
        </w:rPr>
        <w:t xml:space="preserve"> des populations.</w:t>
      </w:r>
    </w:p>
    <w:p w:rsidR="007A34EA" w:rsidRPr="00C8316D" w:rsidRDefault="007A34EA" w:rsidP="007A34EA">
      <w:pPr>
        <w:jc w:val="both"/>
        <w:rPr>
          <w:lang w:val="fr-FR"/>
        </w:rPr>
      </w:pPr>
    </w:p>
    <w:p w:rsidR="001E362B" w:rsidRPr="00C8316D" w:rsidRDefault="0080277D" w:rsidP="0080277D">
      <w:pPr>
        <w:pStyle w:val="Titre1"/>
        <w:rPr>
          <w:lang w:val="fr-FR"/>
        </w:rPr>
      </w:pPr>
      <w:bookmarkStart w:id="8" w:name="_Toc310855634"/>
      <w:r w:rsidRPr="00C8316D">
        <w:rPr>
          <w:lang w:val="fr-FR"/>
        </w:rPr>
        <w:t>3 – Hypothèses générales DOM COM</w:t>
      </w:r>
      <w:bookmarkEnd w:id="8"/>
    </w:p>
    <w:p w:rsidR="000013F5" w:rsidRPr="00C8316D" w:rsidRDefault="000013F5" w:rsidP="0037641F">
      <w:pPr>
        <w:jc w:val="both"/>
        <w:rPr>
          <w:lang w:val="fr-FR"/>
        </w:rPr>
      </w:pPr>
    </w:p>
    <w:p w:rsidR="002B2B47" w:rsidRPr="00C8316D" w:rsidRDefault="002B2B47" w:rsidP="0037641F">
      <w:pPr>
        <w:jc w:val="both"/>
        <w:rPr>
          <w:lang w:val="fr-FR"/>
        </w:rPr>
      </w:pPr>
      <w:r w:rsidRPr="00C8316D">
        <w:rPr>
          <w:lang w:val="fr-FR"/>
        </w:rPr>
        <w:t xml:space="preserve">Les principes de l’approche utilisée dans cette étude peuvent ainsi être </w:t>
      </w:r>
      <w:r w:rsidR="00C82C3B" w:rsidRPr="00C8316D">
        <w:rPr>
          <w:lang w:val="fr-FR"/>
        </w:rPr>
        <w:t>récapitulés</w:t>
      </w:r>
      <w:r w:rsidR="00EA7176">
        <w:rPr>
          <w:lang w:val="fr-FR"/>
        </w:rPr>
        <w:t>.</w:t>
      </w:r>
    </w:p>
    <w:p w:rsidR="002B2B47" w:rsidRPr="00C8316D" w:rsidRDefault="002B2B47" w:rsidP="002B2B47">
      <w:pPr>
        <w:pStyle w:val="Paragraphedeliste"/>
        <w:numPr>
          <w:ilvl w:val="0"/>
          <w:numId w:val="4"/>
        </w:numPr>
        <w:jc w:val="both"/>
        <w:rPr>
          <w:lang w:val="fr-FR"/>
        </w:rPr>
      </w:pPr>
      <w:r w:rsidRPr="00C8316D">
        <w:rPr>
          <w:lang w:val="fr-FR"/>
        </w:rPr>
        <w:t>Les 9 territoires sont décomposés en deux groupes impactés par</w:t>
      </w:r>
      <w:r w:rsidR="00EA7176">
        <w:rPr>
          <w:lang w:val="fr-FR"/>
        </w:rPr>
        <w:t xml:space="preserve"> une réglementation différente.</w:t>
      </w:r>
    </w:p>
    <w:p w:rsidR="002B2B47" w:rsidRPr="00C8316D" w:rsidRDefault="002B2B47" w:rsidP="002B2B47">
      <w:pPr>
        <w:pStyle w:val="Paragraphedeliste"/>
        <w:numPr>
          <w:ilvl w:val="0"/>
          <w:numId w:val="4"/>
        </w:numPr>
        <w:jc w:val="both"/>
        <w:rPr>
          <w:lang w:val="fr-FR"/>
        </w:rPr>
      </w:pPr>
      <w:r w:rsidRPr="00C8316D">
        <w:rPr>
          <w:lang w:val="fr-FR"/>
        </w:rPr>
        <w:t>Deux modèles d’évolution des différentes hypothèses et caractéristiques sont proposés :</w:t>
      </w:r>
    </w:p>
    <w:p w:rsidR="002B2B47" w:rsidRPr="00C8316D" w:rsidRDefault="002B2B47" w:rsidP="002B2B47">
      <w:pPr>
        <w:pStyle w:val="Paragraphedeliste"/>
        <w:numPr>
          <w:ilvl w:val="1"/>
          <w:numId w:val="4"/>
        </w:numPr>
        <w:jc w:val="both"/>
        <w:rPr>
          <w:lang w:val="fr-FR"/>
        </w:rPr>
      </w:pPr>
      <w:r w:rsidRPr="00C8316D">
        <w:rPr>
          <w:lang w:val="fr-FR"/>
        </w:rPr>
        <w:t>Pour le groupe 1 un « modèle métropole »</w:t>
      </w:r>
    </w:p>
    <w:p w:rsidR="002B2B47" w:rsidRPr="00C8316D" w:rsidRDefault="002B2B47" w:rsidP="002B2B47">
      <w:pPr>
        <w:pStyle w:val="Paragraphedeliste"/>
        <w:numPr>
          <w:ilvl w:val="1"/>
          <w:numId w:val="4"/>
        </w:numPr>
        <w:jc w:val="both"/>
        <w:rPr>
          <w:lang w:val="fr-FR"/>
        </w:rPr>
      </w:pPr>
      <w:r w:rsidRPr="00C8316D">
        <w:rPr>
          <w:lang w:val="fr-FR"/>
        </w:rPr>
        <w:t>Pour le groupe 2 un « modèle Economy In Transition » EIT</w:t>
      </w:r>
    </w:p>
    <w:p w:rsidR="002B2B47" w:rsidRPr="00C8316D" w:rsidRDefault="002B2B47" w:rsidP="002B2B47">
      <w:pPr>
        <w:pStyle w:val="Paragraphedeliste"/>
        <w:numPr>
          <w:ilvl w:val="0"/>
          <w:numId w:val="4"/>
        </w:numPr>
        <w:jc w:val="both"/>
        <w:rPr>
          <w:lang w:val="fr-FR"/>
        </w:rPr>
      </w:pPr>
      <w:r w:rsidRPr="00C8316D">
        <w:rPr>
          <w:lang w:val="fr-FR"/>
        </w:rPr>
        <w:t>Ces hypothèses sont regroupées dans deux bases de cal</w:t>
      </w:r>
      <w:r w:rsidR="007A34EA" w:rsidRPr="00C8316D">
        <w:rPr>
          <w:lang w:val="fr-FR"/>
        </w:rPr>
        <w:t>c</w:t>
      </w:r>
      <w:r w:rsidRPr="00C8316D">
        <w:rPr>
          <w:lang w:val="fr-FR"/>
        </w:rPr>
        <w:t>ul</w:t>
      </w:r>
      <w:r w:rsidR="00EA7176">
        <w:rPr>
          <w:lang w:val="fr-FR"/>
        </w:rPr>
        <w:t>.</w:t>
      </w:r>
    </w:p>
    <w:p w:rsidR="002B2B47" w:rsidRPr="00C8316D" w:rsidRDefault="002B2B47" w:rsidP="002B2B47">
      <w:pPr>
        <w:pStyle w:val="Paragraphedeliste"/>
        <w:numPr>
          <w:ilvl w:val="0"/>
          <w:numId w:val="4"/>
        </w:numPr>
        <w:jc w:val="both"/>
        <w:rPr>
          <w:lang w:val="fr-FR"/>
        </w:rPr>
      </w:pPr>
      <w:r w:rsidRPr="00C8316D">
        <w:rPr>
          <w:lang w:val="fr-FR"/>
        </w:rPr>
        <w:t xml:space="preserve">Les marchés </w:t>
      </w:r>
      <w:r w:rsidR="007A34EA" w:rsidRPr="00C8316D">
        <w:rPr>
          <w:lang w:val="fr-FR"/>
        </w:rPr>
        <w:t xml:space="preserve">et productions </w:t>
      </w:r>
      <w:r w:rsidRPr="00C8316D">
        <w:rPr>
          <w:lang w:val="fr-FR"/>
        </w:rPr>
        <w:t>sont estimés par territoire et sommés</w:t>
      </w:r>
      <w:r w:rsidR="007A34EA" w:rsidRPr="00C8316D">
        <w:rPr>
          <w:lang w:val="fr-FR"/>
        </w:rPr>
        <w:t xml:space="preserve"> pour évaluer les </w:t>
      </w:r>
      <w:r w:rsidR="00C82C3B" w:rsidRPr="00C8316D">
        <w:rPr>
          <w:lang w:val="fr-FR"/>
        </w:rPr>
        <w:t>marché</w:t>
      </w:r>
      <w:r w:rsidR="007A34EA" w:rsidRPr="00C8316D">
        <w:rPr>
          <w:lang w:val="fr-FR"/>
        </w:rPr>
        <w:t>s et productio</w:t>
      </w:r>
      <w:r w:rsidR="00EA7176">
        <w:rPr>
          <w:lang w:val="fr-FR"/>
        </w:rPr>
        <w:t>ns</w:t>
      </w:r>
      <w:r w:rsidR="007A34EA" w:rsidRPr="00C8316D">
        <w:rPr>
          <w:lang w:val="fr-FR"/>
        </w:rPr>
        <w:t xml:space="preserve"> de chaque groupe</w:t>
      </w:r>
      <w:r w:rsidR="00EA7176">
        <w:rPr>
          <w:lang w:val="fr-FR"/>
        </w:rPr>
        <w:t>.</w:t>
      </w:r>
    </w:p>
    <w:p w:rsidR="002B2B47" w:rsidRPr="00C8316D" w:rsidRDefault="002B2B47" w:rsidP="002B2B47">
      <w:pPr>
        <w:pStyle w:val="Paragraphedeliste"/>
        <w:numPr>
          <w:ilvl w:val="0"/>
          <w:numId w:val="4"/>
        </w:numPr>
        <w:jc w:val="both"/>
        <w:rPr>
          <w:lang w:val="fr-FR"/>
        </w:rPr>
      </w:pPr>
      <w:r w:rsidRPr="00C8316D">
        <w:rPr>
          <w:lang w:val="fr-FR"/>
        </w:rPr>
        <w:t xml:space="preserve">Les résultats de calcul des deux bases seront décomposés au prorata des populations des </w:t>
      </w:r>
      <w:r w:rsidR="00C82C3B" w:rsidRPr="00C8316D">
        <w:rPr>
          <w:lang w:val="fr-FR"/>
        </w:rPr>
        <w:t>territoires</w:t>
      </w:r>
      <w:r w:rsidRPr="00C8316D">
        <w:rPr>
          <w:lang w:val="fr-FR"/>
        </w:rPr>
        <w:t xml:space="preserve"> </w:t>
      </w:r>
      <w:r w:rsidR="00C82C3B" w:rsidRPr="00C8316D">
        <w:rPr>
          <w:lang w:val="fr-FR"/>
        </w:rPr>
        <w:t>regroupés dans</w:t>
      </w:r>
      <w:r w:rsidRPr="00C8316D">
        <w:rPr>
          <w:lang w:val="fr-FR"/>
        </w:rPr>
        <w:t xml:space="preserve"> chaque base.</w:t>
      </w:r>
    </w:p>
    <w:p w:rsidR="001C10A1" w:rsidRPr="00C8316D" w:rsidRDefault="00EA7176" w:rsidP="002B2B47">
      <w:pPr>
        <w:pStyle w:val="Paragraphedeliste"/>
        <w:numPr>
          <w:ilvl w:val="0"/>
          <w:numId w:val="4"/>
        </w:numPr>
        <w:jc w:val="both"/>
        <w:rPr>
          <w:lang w:val="fr-FR"/>
        </w:rPr>
      </w:pPr>
      <w:r>
        <w:rPr>
          <w:lang w:val="fr-FR"/>
        </w:rPr>
        <w:t>Les demandes reconstitué</w:t>
      </w:r>
      <w:r w:rsidR="001C10A1" w:rsidRPr="00C8316D">
        <w:rPr>
          <w:lang w:val="fr-FR"/>
        </w:rPr>
        <w:t>es par territoire seront compar</w:t>
      </w:r>
      <w:r>
        <w:rPr>
          <w:lang w:val="fr-FR"/>
        </w:rPr>
        <w:t>é</w:t>
      </w:r>
      <w:r w:rsidR="001C10A1" w:rsidRPr="00C8316D">
        <w:rPr>
          <w:lang w:val="fr-FR"/>
        </w:rPr>
        <w:t>es aux march</w:t>
      </w:r>
      <w:r>
        <w:rPr>
          <w:lang w:val="fr-FR"/>
        </w:rPr>
        <w:t>é</w:t>
      </w:r>
      <w:r w:rsidR="001C10A1" w:rsidRPr="00C8316D">
        <w:rPr>
          <w:lang w:val="fr-FR"/>
        </w:rPr>
        <w:t>s évalués par les distributeurs de fluid</w:t>
      </w:r>
      <w:r w:rsidR="004D7ADE" w:rsidRPr="00C8316D">
        <w:rPr>
          <w:lang w:val="fr-FR"/>
        </w:rPr>
        <w:t>e</w:t>
      </w:r>
      <w:r w:rsidR="007662B8">
        <w:rPr>
          <w:lang w:val="fr-FR"/>
        </w:rPr>
        <w:t>s frigorigènes dans les DOM [DIS11</w:t>
      </w:r>
      <w:r w:rsidR="001C10A1" w:rsidRPr="00C8316D">
        <w:rPr>
          <w:lang w:val="fr-FR"/>
        </w:rPr>
        <w:t>].</w:t>
      </w:r>
    </w:p>
    <w:p w:rsidR="001C10A1" w:rsidRPr="00C8316D" w:rsidRDefault="001C10A1" w:rsidP="001C10A1">
      <w:pPr>
        <w:pStyle w:val="Paragraphedeliste"/>
        <w:ind w:left="795"/>
        <w:jc w:val="both"/>
        <w:rPr>
          <w:lang w:val="fr-FR"/>
        </w:rPr>
      </w:pPr>
    </w:p>
    <w:p w:rsidR="0037641F" w:rsidRPr="00C8316D" w:rsidRDefault="00F91F18" w:rsidP="00F91F18">
      <w:pPr>
        <w:pStyle w:val="Titre2"/>
        <w:rPr>
          <w:lang w:val="fr-FR"/>
        </w:rPr>
      </w:pPr>
      <w:bookmarkStart w:id="9" w:name="_Toc310855635"/>
      <w:r w:rsidRPr="00C8316D">
        <w:rPr>
          <w:lang w:val="fr-FR"/>
        </w:rPr>
        <w:t xml:space="preserve">3.1 Le </w:t>
      </w:r>
      <w:r w:rsidR="0037641F" w:rsidRPr="00C8316D">
        <w:rPr>
          <w:lang w:val="fr-FR"/>
        </w:rPr>
        <w:t xml:space="preserve">Modèle </w:t>
      </w:r>
      <w:r w:rsidRPr="00C8316D">
        <w:rPr>
          <w:lang w:val="fr-FR"/>
        </w:rPr>
        <w:t>« </w:t>
      </w:r>
      <w:r w:rsidR="0037641F" w:rsidRPr="00C8316D">
        <w:rPr>
          <w:lang w:val="fr-FR"/>
        </w:rPr>
        <w:t>Métropole</w:t>
      </w:r>
      <w:r w:rsidRPr="00C8316D">
        <w:rPr>
          <w:lang w:val="fr-FR"/>
        </w:rPr>
        <w:t> </w:t>
      </w:r>
      <w:r w:rsidR="00AB3FAF" w:rsidRPr="00C8316D">
        <w:rPr>
          <w:lang w:val="fr-FR"/>
        </w:rPr>
        <w:t>décalé</w:t>
      </w:r>
      <w:r w:rsidRPr="00C8316D">
        <w:rPr>
          <w:lang w:val="fr-FR"/>
        </w:rPr>
        <w:t>»</w:t>
      </w:r>
      <w:bookmarkEnd w:id="9"/>
    </w:p>
    <w:p w:rsidR="00F91F18" w:rsidRPr="00C8316D" w:rsidRDefault="00F91F18" w:rsidP="00F91F18">
      <w:pPr>
        <w:jc w:val="both"/>
        <w:rPr>
          <w:lang w:val="fr-FR"/>
        </w:rPr>
      </w:pPr>
      <w:r w:rsidRPr="00C8316D">
        <w:rPr>
          <w:lang w:val="fr-FR"/>
        </w:rPr>
        <w:t>Les territoires du groupe 1 sont soumis à la même réglementation que la métro</w:t>
      </w:r>
      <w:r w:rsidR="00EA7176">
        <w:rPr>
          <w:lang w:val="fr-FR"/>
        </w:rPr>
        <w:t>pole, aussi les hypothèses ci-après sont faites.</w:t>
      </w:r>
    </w:p>
    <w:p w:rsidR="00F91F18" w:rsidRPr="00C8316D" w:rsidRDefault="00EA7176" w:rsidP="00F91F18">
      <w:pPr>
        <w:pStyle w:val="Paragraphedeliste"/>
        <w:numPr>
          <w:ilvl w:val="0"/>
          <w:numId w:val="1"/>
        </w:numPr>
        <w:jc w:val="both"/>
        <w:rPr>
          <w:lang w:val="fr-FR"/>
        </w:rPr>
      </w:pPr>
      <w:r>
        <w:rPr>
          <w:lang w:val="fr-FR"/>
        </w:rPr>
        <w:t>C</w:t>
      </w:r>
      <w:r w:rsidR="00F91F18" w:rsidRPr="00C8316D">
        <w:rPr>
          <w:lang w:val="fr-FR"/>
        </w:rPr>
        <w:t>haqu</w:t>
      </w:r>
      <w:r w:rsidR="00E661B8">
        <w:rPr>
          <w:lang w:val="fr-FR"/>
        </w:rPr>
        <w:t xml:space="preserve">e secteur </w:t>
      </w:r>
      <w:r w:rsidR="006B0A6A">
        <w:rPr>
          <w:lang w:val="fr-FR"/>
        </w:rPr>
        <w:t>suit</w:t>
      </w:r>
      <w:r w:rsidR="00E661B8">
        <w:rPr>
          <w:lang w:val="fr-FR"/>
        </w:rPr>
        <w:t xml:space="preserve"> le</w:t>
      </w:r>
      <w:r w:rsidR="00F91F18" w:rsidRPr="00C8316D">
        <w:rPr>
          <w:lang w:val="fr-FR"/>
        </w:rPr>
        <w:t xml:space="preserve"> même</w:t>
      </w:r>
      <w:r w:rsidR="00E661B8">
        <w:rPr>
          <w:lang w:val="fr-FR"/>
        </w:rPr>
        <w:t xml:space="preserve"> type</w:t>
      </w:r>
      <w:r w:rsidR="00F91F18" w:rsidRPr="00C8316D">
        <w:rPr>
          <w:lang w:val="fr-FR"/>
        </w:rPr>
        <w:t xml:space="preserve"> </w:t>
      </w:r>
      <w:r w:rsidR="00E661B8">
        <w:rPr>
          <w:lang w:val="fr-FR"/>
        </w:rPr>
        <w:t>d’</w:t>
      </w:r>
      <w:r w:rsidR="00F91F18" w:rsidRPr="00C8316D">
        <w:rPr>
          <w:lang w:val="fr-FR"/>
        </w:rPr>
        <w:t xml:space="preserve">évolution </w:t>
      </w:r>
      <w:r w:rsidR="006B0A6A">
        <w:rPr>
          <w:lang w:val="fr-FR"/>
        </w:rPr>
        <w:t xml:space="preserve">que la </w:t>
      </w:r>
      <w:r w:rsidR="006B0A6A" w:rsidRPr="00C8316D">
        <w:rPr>
          <w:lang w:val="fr-FR"/>
        </w:rPr>
        <w:t>métropole</w:t>
      </w:r>
      <w:r w:rsidR="006B0A6A">
        <w:rPr>
          <w:lang w:val="fr-FR"/>
        </w:rPr>
        <w:t xml:space="preserve"> pour le choix d</w:t>
      </w:r>
      <w:r w:rsidR="00F91F18" w:rsidRPr="00C8316D">
        <w:rPr>
          <w:lang w:val="fr-FR"/>
        </w:rPr>
        <w:t>e</w:t>
      </w:r>
      <w:r w:rsidR="006B0A6A">
        <w:rPr>
          <w:lang w:val="fr-FR"/>
        </w:rPr>
        <w:t>s</w:t>
      </w:r>
      <w:r w:rsidR="00F91F18" w:rsidRPr="00C8316D">
        <w:rPr>
          <w:lang w:val="fr-FR"/>
        </w:rPr>
        <w:t xml:space="preserve"> fluides </w:t>
      </w:r>
      <w:r w:rsidR="006B0A6A">
        <w:rPr>
          <w:lang w:val="fr-FR"/>
        </w:rPr>
        <w:t>frigorigènes</w:t>
      </w:r>
      <w:r w:rsidR="00F91F18" w:rsidRPr="00C8316D">
        <w:rPr>
          <w:lang w:val="fr-FR"/>
        </w:rPr>
        <w:t xml:space="preserve">, es mêmes hypothèses </w:t>
      </w:r>
      <w:r w:rsidR="006B0A6A">
        <w:rPr>
          <w:lang w:val="fr-FR"/>
        </w:rPr>
        <w:t xml:space="preserve">sont faites pour le </w:t>
      </w:r>
      <w:r w:rsidR="00F91F18" w:rsidRPr="00C8316D">
        <w:rPr>
          <w:lang w:val="fr-FR"/>
        </w:rPr>
        <w:t>rétrofit d’installations</w:t>
      </w:r>
      <w:r w:rsidR="006B0A6A">
        <w:rPr>
          <w:lang w:val="fr-FR"/>
        </w:rPr>
        <w:t xml:space="preserve"> qui fonctionnait aux CFC</w:t>
      </w:r>
      <w:r w:rsidR="00F91F18" w:rsidRPr="00C8316D">
        <w:rPr>
          <w:lang w:val="fr-FR"/>
        </w:rPr>
        <w:t xml:space="preserve">, et </w:t>
      </w:r>
      <w:r w:rsidR="006B0A6A">
        <w:rPr>
          <w:lang w:val="fr-FR"/>
        </w:rPr>
        <w:t xml:space="preserve">le </w:t>
      </w:r>
      <w:r w:rsidR="00F91F18" w:rsidRPr="00C8316D">
        <w:rPr>
          <w:lang w:val="fr-FR"/>
        </w:rPr>
        <w:t>démarrage des rétr</w:t>
      </w:r>
      <w:r>
        <w:rPr>
          <w:lang w:val="fr-FR"/>
        </w:rPr>
        <w:t>ofits d’installations aux HCFC</w:t>
      </w:r>
      <w:r w:rsidR="006B0A6A">
        <w:rPr>
          <w:lang w:val="fr-FR"/>
        </w:rPr>
        <w:t xml:space="preserve"> s’effectue aussi aux mêmes dates</w:t>
      </w:r>
      <w:r>
        <w:rPr>
          <w:lang w:val="fr-FR"/>
        </w:rPr>
        <w:t>.</w:t>
      </w:r>
    </w:p>
    <w:p w:rsidR="0037641F" w:rsidRDefault="00EA7176" w:rsidP="0037641F">
      <w:pPr>
        <w:pStyle w:val="Paragraphedeliste"/>
        <w:numPr>
          <w:ilvl w:val="0"/>
          <w:numId w:val="1"/>
        </w:numPr>
        <w:jc w:val="both"/>
        <w:rPr>
          <w:lang w:val="fr-FR"/>
        </w:rPr>
      </w:pPr>
      <w:r>
        <w:rPr>
          <w:lang w:val="fr-FR"/>
        </w:rPr>
        <w:t>A</w:t>
      </w:r>
      <w:r w:rsidR="00F91F18" w:rsidRPr="00C8316D">
        <w:rPr>
          <w:lang w:val="fr-FR"/>
        </w:rPr>
        <w:t xml:space="preserve">fin de tenir compte de la différence de PIB avec la métropole, qui </w:t>
      </w:r>
      <w:r w:rsidR="00327A01">
        <w:rPr>
          <w:lang w:val="fr-FR"/>
        </w:rPr>
        <w:t>a un impact sur</w:t>
      </w:r>
      <w:r w:rsidR="00F91F18" w:rsidRPr="00C8316D">
        <w:rPr>
          <w:lang w:val="fr-FR"/>
        </w:rPr>
        <w:t xml:space="preserve"> les modes d’entretien notamment, il est considéré que les t</w:t>
      </w:r>
      <w:r w:rsidR="0037641F" w:rsidRPr="00C8316D">
        <w:rPr>
          <w:lang w:val="fr-FR"/>
        </w:rPr>
        <w:t>aux d’émissions</w:t>
      </w:r>
      <w:r w:rsidR="00F91F18" w:rsidRPr="00C8316D">
        <w:rPr>
          <w:lang w:val="fr-FR"/>
        </w:rPr>
        <w:t xml:space="preserve"> des équipements sont supérieurs, de</w:t>
      </w:r>
      <w:r w:rsidR="0037641F" w:rsidRPr="00C8316D">
        <w:rPr>
          <w:lang w:val="fr-FR"/>
        </w:rPr>
        <w:t xml:space="preserve"> </w:t>
      </w:r>
      <w:r w:rsidR="0037641F" w:rsidRPr="00C8316D">
        <w:rPr>
          <w:lang w:val="fr-FR"/>
        </w:rPr>
        <w:lastRenderedPageBreak/>
        <w:t>10</w:t>
      </w:r>
      <w:r>
        <w:rPr>
          <w:lang w:val="fr-FR"/>
        </w:rPr>
        <w:t xml:space="preserve"> </w:t>
      </w:r>
      <w:r w:rsidR="0037641F" w:rsidRPr="00C8316D">
        <w:rPr>
          <w:lang w:val="fr-FR"/>
        </w:rPr>
        <w:t>% à 20</w:t>
      </w:r>
      <w:r>
        <w:rPr>
          <w:lang w:val="fr-FR"/>
        </w:rPr>
        <w:t> </w:t>
      </w:r>
      <w:r w:rsidR="0037641F" w:rsidRPr="00C8316D">
        <w:rPr>
          <w:lang w:val="fr-FR"/>
        </w:rPr>
        <w:t xml:space="preserve">% </w:t>
      </w:r>
      <w:r w:rsidR="009B5B37" w:rsidRPr="00C8316D">
        <w:rPr>
          <w:lang w:val="fr-FR"/>
        </w:rPr>
        <w:t xml:space="preserve">(pour les grosses </w:t>
      </w:r>
      <w:r w:rsidR="0037641F" w:rsidRPr="00C8316D">
        <w:rPr>
          <w:lang w:val="fr-FR"/>
        </w:rPr>
        <w:t>installations</w:t>
      </w:r>
      <w:r w:rsidR="009B5B37" w:rsidRPr="00C8316D">
        <w:rPr>
          <w:lang w:val="fr-FR"/>
        </w:rPr>
        <w:t>),</w:t>
      </w:r>
      <w:r w:rsidR="0037641F" w:rsidRPr="00C8316D">
        <w:rPr>
          <w:lang w:val="fr-FR"/>
        </w:rPr>
        <w:t xml:space="preserve"> </w:t>
      </w:r>
      <w:r w:rsidR="00F91F18" w:rsidRPr="00C8316D">
        <w:rPr>
          <w:lang w:val="fr-FR"/>
        </w:rPr>
        <w:t xml:space="preserve">à ceux de la métropole et ont une progression décalée </w:t>
      </w:r>
      <w:r w:rsidR="0037641F" w:rsidRPr="00C8316D">
        <w:rPr>
          <w:lang w:val="fr-FR"/>
        </w:rPr>
        <w:t>de 10 ans</w:t>
      </w:r>
      <w:r>
        <w:rPr>
          <w:lang w:val="fr-FR"/>
        </w:rPr>
        <w:t xml:space="preserve"> dans le temps.</w:t>
      </w:r>
    </w:p>
    <w:p w:rsidR="00EA7176" w:rsidRPr="00C8316D" w:rsidRDefault="00EA7176" w:rsidP="00EA7176">
      <w:pPr>
        <w:pStyle w:val="Paragraphedeliste"/>
        <w:jc w:val="both"/>
        <w:rPr>
          <w:lang w:val="fr-FR"/>
        </w:rPr>
      </w:pP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2"/>
        <w:gridCol w:w="4266"/>
      </w:tblGrid>
      <w:tr w:rsidR="00A32D4F" w:rsidTr="00D05C11">
        <w:tc>
          <w:tcPr>
            <w:tcW w:w="4606" w:type="dxa"/>
          </w:tcPr>
          <w:p w:rsidR="00A32D4F" w:rsidRDefault="00A32D4F" w:rsidP="00A32D4F">
            <w:pPr>
              <w:pStyle w:val="Paragraphedeliste"/>
              <w:ind w:left="0"/>
              <w:jc w:val="center"/>
              <w:rPr>
                <w:lang w:val="fr-FR"/>
              </w:rPr>
            </w:pPr>
            <w:r>
              <w:rPr>
                <w:noProof/>
                <w:lang w:val="fr-FR" w:eastAsia="fr-FR" w:bidi="ar-SA"/>
              </w:rPr>
              <w:drawing>
                <wp:inline distT="0" distB="0" distL="0" distR="0">
                  <wp:extent cx="2638425" cy="2585046"/>
                  <wp:effectExtent l="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642477" cy="2589016"/>
                          </a:xfrm>
                          <a:prstGeom prst="rect">
                            <a:avLst/>
                          </a:prstGeom>
                          <a:noFill/>
                          <a:ln w="9525">
                            <a:noFill/>
                            <a:miter lim="800000"/>
                            <a:headEnd/>
                            <a:tailEnd/>
                          </a:ln>
                        </pic:spPr>
                      </pic:pic>
                    </a:graphicData>
                  </a:graphic>
                </wp:inline>
              </w:drawing>
            </w:r>
          </w:p>
        </w:tc>
        <w:tc>
          <w:tcPr>
            <w:tcW w:w="4606" w:type="dxa"/>
          </w:tcPr>
          <w:p w:rsidR="00A32D4F" w:rsidRDefault="00A32D4F" w:rsidP="00A32D4F">
            <w:pPr>
              <w:pStyle w:val="Paragraphedeliste"/>
              <w:ind w:left="0"/>
              <w:jc w:val="center"/>
              <w:rPr>
                <w:lang w:val="fr-FR"/>
              </w:rPr>
            </w:pPr>
            <w:r>
              <w:rPr>
                <w:noProof/>
                <w:lang w:val="fr-FR" w:eastAsia="fr-FR" w:bidi="ar-SA"/>
              </w:rPr>
              <w:drawing>
                <wp:inline distT="0" distB="0" distL="0" distR="0">
                  <wp:extent cx="2615359" cy="2524125"/>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617856" cy="2526535"/>
                          </a:xfrm>
                          <a:prstGeom prst="rect">
                            <a:avLst/>
                          </a:prstGeom>
                          <a:noFill/>
                          <a:ln w="9525">
                            <a:noFill/>
                            <a:miter lim="800000"/>
                            <a:headEnd/>
                            <a:tailEnd/>
                          </a:ln>
                        </pic:spPr>
                      </pic:pic>
                    </a:graphicData>
                  </a:graphic>
                </wp:inline>
              </w:drawing>
            </w:r>
          </w:p>
        </w:tc>
      </w:tr>
      <w:tr w:rsidR="00A32D4F" w:rsidRPr="00192718" w:rsidTr="00D05C11">
        <w:tc>
          <w:tcPr>
            <w:tcW w:w="4606" w:type="dxa"/>
          </w:tcPr>
          <w:p w:rsidR="00A32D4F" w:rsidRPr="00D05C11" w:rsidRDefault="00D05C11" w:rsidP="00D05C11">
            <w:pPr>
              <w:pStyle w:val="Sous-titre"/>
              <w:spacing w:after="100"/>
              <w:jc w:val="center"/>
              <w:rPr>
                <w:sz w:val="20"/>
                <w:szCs w:val="20"/>
                <w:lang w:val="fr-FR"/>
              </w:rPr>
            </w:pPr>
            <w:r w:rsidRPr="00D05C11">
              <w:rPr>
                <w:sz w:val="20"/>
                <w:szCs w:val="20"/>
                <w:lang w:val="fr-FR"/>
              </w:rPr>
              <w:t>Figure 2 – Estimation des taux d’emissions dom com a partir de ceux de la metropole</w:t>
            </w:r>
          </w:p>
        </w:tc>
        <w:tc>
          <w:tcPr>
            <w:tcW w:w="4606" w:type="dxa"/>
          </w:tcPr>
          <w:p w:rsidR="00A32D4F" w:rsidRPr="00D05C11" w:rsidRDefault="00D05C11" w:rsidP="00EA7176">
            <w:pPr>
              <w:pStyle w:val="Sous-titre"/>
              <w:spacing w:after="100"/>
              <w:jc w:val="center"/>
              <w:rPr>
                <w:sz w:val="22"/>
                <w:szCs w:val="22"/>
                <w:lang w:val="fr-FR"/>
              </w:rPr>
            </w:pPr>
            <w:r w:rsidRPr="00D05C11">
              <w:rPr>
                <w:sz w:val="20"/>
                <w:szCs w:val="20"/>
                <w:lang w:val="fr-FR"/>
              </w:rPr>
              <w:t xml:space="preserve">Figure </w:t>
            </w:r>
            <w:r>
              <w:rPr>
                <w:sz w:val="20"/>
                <w:szCs w:val="20"/>
                <w:lang w:val="fr-FR"/>
              </w:rPr>
              <w:t>3</w:t>
            </w:r>
            <w:r w:rsidRPr="00D05C11">
              <w:rPr>
                <w:sz w:val="20"/>
                <w:szCs w:val="20"/>
                <w:lang w:val="fr-FR"/>
              </w:rPr>
              <w:t xml:space="preserve"> – </w:t>
            </w:r>
            <w:r>
              <w:rPr>
                <w:sz w:val="20"/>
                <w:szCs w:val="20"/>
                <w:lang w:val="fr-FR"/>
              </w:rPr>
              <w:t xml:space="preserve">Estimation de l’efficacite de recuperation </w:t>
            </w:r>
            <w:r w:rsidRPr="00D05C11">
              <w:rPr>
                <w:sz w:val="20"/>
                <w:szCs w:val="20"/>
                <w:lang w:val="fr-FR"/>
              </w:rPr>
              <w:t>dom com a partir de ce</w:t>
            </w:r>
            <w:r w:rsidR="00EA7176">
              <w:rPr>
                <w:sz w:val="20"/>
                <w:szCs w:val="20"/>
                <w:lang w:val="fr-FR"/>
              </w:rPr>
              <w:t>lle</w:t>
            </w:r>
            <w:r w:rsidRPr="00D05C11">
              <w:rPr>
                <w:sz w:val="20"/>
                <w:szCs w:val="20"/>
                <w:lang w:val="fr-FR"/>
              </w:rPr>
              <w:t xml:space="preserve"> de la metropole</w:t>
            </w:r>
          </w:p>
        </w:tc>
      </w:tr>
    </w:tbl>
    <w:p w:rsidR="0037641F" w:rsidRPr="00C8316D" w:rsidRDefault="00F91F18" w:rsidP="0037641F">
      <w:pPr>
        <w:pStyle w:val="Paragraphedeliste"/>
        <w:numPr>
          <w:ilvl w:val="0"/>
          <w:numId w:val="1"/>
        </w:numPr>
        <w:jc w:val="both"/>
        <w:rPr>
          <w:lang w:val="fr-FR"/>
        </w:rPr>
      </w:pPr>
      <w:r w:rsidRPr="00C8316D">
        <w:rPr>
          <w:lang w:val="fr-FR"/>
        </w:rPr>
        <w:t>Pour la même raison d’écart de niveau économique et pour des raisons de difficulté de mise en place de certaines filières</w:t>
      </w:r>
      <w:r w:rsidR="009B5B37" w:rsidRPr="00C8316D">
        <w:rPr>
          <w:lang w:val="fr-FR"/>
        </w:rPr>
        <w:t xml:space="preserve">, il est également considéré un décalage de </w:t>
      </w:r>
      <w:r w:rsidR="0037641F" w:rsidRPr="00C8316D">
        <w:rPr>
          <w:lang w:val="fr-FR"/>
        </w:rPr>
        <w:t xml:space="preserve">10 ans </w:t>
      </w:r>
      <w:r w:rsidR="009B5B37" w:rsidRPr="00C8316D">
        <w:rPr>
          <w:lang w:val="fr-FR"/>
        </w:rPr>
        <w:t>dans le niveau de l’efficacité de la récupération en fin de vie des équipements (excepté en froid domestique, secteur pour lequel un bilan DEE</w:t>
      </w:r>
      <w:r w:rsidR="00EA7176">
        <w:rPr>
          <w:lang w:val="fr-FR"/>
        </w:rPr>
        <w:t>E est disponible pour les DOM).</w:t>
      </w:r>
    </w:p>
    <w:p w:rsidR="0037641F" w:rsidRPr="00C8316D" w:rsidRDefault="009B5B37" w:rsidP="0037641F">
      <w:pPr>
        <w:pStyle w:val="Paragraphedeliste"/>
        <w:numPr>
          <w:ilvl w:val="0"/>
          <w:numId w:val="1"/>
        </w:numPr>
        <w:jc w:val="both"/>
        <w:rPr>
          <w:lang w:val="fr-FR"/>
        </w:rPr>
      </w:pPr>
      <w:r w:rsidRPr="00C8316D">
        <w:rPr>
          <w:lang w:val="fr-FR"/>
        </w:rPr>
        <w:t>Les c</w:t>
      </w:r>
      <w:r w:rsidR="0037641F" w:rsidRPr="00C8316D">
        <w:rPr>
          <w:lang w:val="fr-FR"/>
        </w:rPr>
        <w:t>harges</w:t>
      </w:r>
      <w:r w:rsidRPr="00C8316D">
        <w:rPr>
          <w:lang w:val="fr-FR"/>
        </w:rPr>
        <w:t xml:space="preserve"> moyennes ou ratios de charge sont</w:t>
      </w:r>
      <w:r w:rsidR="0037641F" w:rsidRPr="00C8316D">
        <w:rPr>
          <w:lang w:val="fr-FR"/>
        </w:rPr>
        <w:t xml:space="preserve"> identiques</w:t>
      </w:r>
      <w:r w:rsidRPr="00C8316D">
        <w:rPr>
          <w:lang w:val="fr-FR"/>
        </w:rPr>
        <w:t xml:space="preserve"> à ceux de la mé</w:t>
      </w:r>
      <w:r w:rsidR="00EA7176">
        <w:rPr>
          <w:lang w:val="fr-FR"/>
        </w:rPr>
        <w:t>tropole.</w:t>
      </w:r>
    </w:p>
    <w:p w:rsidR="009B5B37" w:rsidRPr="00C8316D" w:rsidRDefault="009B5B37" w:rsidP="0037641F">
      <w:pPr>
        <w:pStyle w:val="Paragraphedeliste"/>
        <w:numPr>
          <w:ilvl w:val="0"/>
          <w:numId w:val="1"/>
        </w:numPr>
        <w:jc w:val="both"/>
        <w:rPr>
          <w:lang w:val="fr-FR"/>
        </w:rPr>
      </w:pPr>
      <w:r w:rsidRPr="00C8316D">
        <w:rPr>
          <w:lang w:val="fr-FR"/>
        </w:rPr>
        <w:t xml:space="preserve">Les durées de vie des équipements sont plus </w:t>
      </w:r>
      <w:r w:rsidR="00B63730">
        <w:rPr>
          <w:lang w:val="fr-FR"/>
        </w:rPr>
        <w:t>longu</w:t>
      </w:r>
      <w:r w:rsidRPr="00C8316D">
        <w:rPr>
          <w:lang w:val="fr-FR"/>
        </w:rPr>
        <w:t>es, du fait d’un PIB plus faible qu’en métropole.</w:t>
      </w:r>
    </w:p>
    <w:p w:rsidR="00C82C3B" w:rsidRPr="00C8316D" w:rsidRDefault="00C82C3B" w:rsidP="00311EBF">
      <w:pPr>
        <w:pStyle w:val="Paragraphedeliste"/>
        <w:jc w:val="both"/>
        <w:rPr>
          <w:lang w:val="fr-FR"/>
        </w:rPr>
      </w:pPr>
    </w:p>
    <w:p w:rsidR="0037641F" w:rsidRPr="00C8316D" w:rsidRDefault="009B5B37" w:rsidP="009B5B37">
      <w:pPr>
        <w:pStyle w:val="Titre2"/>
        <w:rPr>
          <w:lang w:val="fr-FR"/>
        </w:rPr>
      </w:pPr>
      <w:bookmarkStart w:id="10" w:name="_Toc310855636"/>
      <w:r w:rsidRPr="00C8316D">
        <w:rPr>
          <w:lang w:val="fr-FR"/>
        </w:rPr>
        <w:t>3.2 Le Modèle « EIT »</w:t>
      </w:r>
      <w:bookmarkEnd w:id="10"/>
    </w:p>
    <w:p w:rsidR="00E712AC" w:rsidRPr="00C8316D" w:rsidRDefault="00E712AC" w:rsidP="00E712AC">
      <w:pPr>
        <w:jc w:val="both"/>
        <w:rPr>
          <w:lang w:val="fr-FR"/>
        </w:rPr>
      </w:pPr>
      <w:r w:rsidRPr="00C8316D">
        <w:rPr>
          <w:lang w:val="fr-FR"/>
        </w:rPr>
        <w:t xml:space="preserve">Les territoires du groupe 2 ne sont soumis </w:t>
      </w:r>
      <w:r w:rsidR="00C82C3B" w:rsidRPr="00C8316D">
        <w:rPr>
          <w:lang w:val="fr-FR"/>
        </w:rPr>
        <w:t xml:space="preserve">ni </w:t>
      </w:r>
      <w:r w:rsidRPr="00C8316D">
        <w:rPr>
          <w:lang w:val="fr-FR"/>
        </w:rPr>
        <w:t>à la réglementation européenne, ni à la réglementation française. Les résultats du travail d’inventaires mondiaux seront ici utilisés pour caractériser les évolutions de fluides par secteur [</w:t>
      </w:r>
      <w:r w:rsidR="009F3287" w:rsidRPr="00C8316D">
        <w:rPr>
          <w:lang w:val="fr-FR"/>
        </w:rPr>
        <w:t>CLO10</w:t>
      </w:r>
      <w:r w:rsidRPr="00C8316D">
        <w:rPr>
          <w:lang w:val="fr-FR"/>
        </w:rPr>
        <w:t>]</w:t>
      </w:r>
      <w:r w:rsidR="00EA7176">
        <w:rPr>
          <w:lang w:val="fr-FR"/>
        </w:rPr>
        <w:t>.</w:t>
      </w:r>
      <w:r w:rsidR="00311EBF" w:rsidRPr="00C8316D">
        <w:rPr>
          <w:lang w:val="fr-FR"/>
        </w:rPr>
        <w:t xml:space="preserve"> </w:t>
      </w:r>
      <w:r w:rsidR="00EA7176">
        <w:rPr>
          <w:lang w:val="fr-FR"/>
        </w:rPr>
        <w:t>I</w:t>
      </w:r>
      <w:r w:rsidR="00311EBF" w:rsidRPr="00C8316D">
        <w:rPr>
          <w:lang w:val="fr-FR"/>
        </w:rPr>
        <w:t>l est pris en compte que</w:t>
      </w:r>
      <w:r w:rsidR="00AB3FAF" w:rsidRPr="00C8316D">
        <w:rPr>
          <w:lang w:val="fr-FR"/>
        </w:rPr>
        <w:t>:</w:t>
      </w:r>
    </w:p>
    <w:p w:rsidR="00AB3FAF" w:rsidRPr="00C8316D" w:rsidRDefault="00EA7176" w:rsidP="00AB3FAF">
      <w:pPr>
        <w:pStyle w:val="Paragraphedeliste"/>
        <w:numPr>
          <w:ilvl w:val="0"/>
          <w:numId w:val="1"/>
        </w:numPr>
        <w:jc w:val="both"/>
        <w:rPr>
          <w:lang w:val="fr-FR"/>
        </w:rPr>
      </w:pPr>
      <w:r>
        <w:rPr>
          <w:lang w:val="fr-FR"/>
        </w:rPr>
        <w:t>l</w:t>
      </w:r>
      <w:r w:rsidR="00AB3FAF" w:rsidRPr="00C8316D">
        <w:rPr>
          <w:lang w:val="fr-FR"/>
        </w:rPr>
        <w:t>es fluides utilisés par secteur varient selon le</w:t>
      </w:r>
      <w:r w:rsidR="0037641F" w:rsidRPr="00C8316D">
        <w:rPr>
          <w:lang w:val="fr-FR"/>
        </w:rPr>
        <w:t xml:space="preserve"> modèle</w:t>
      </w:r>
      <w:r w:rsidR="00AB3FAF" w:rsidRPr="00C8316D">
        <w:rPr>
          <w:lang w:val="fr-FR"/>
        </w:rPr>
        <w:t xml:space="preserve"> des pays</w:t>
      </w:r>
      <w:r w:rsidR="0037641F" w:rsidRPr="00C8316D">
        <w:rPr>
          <w:lang w:val="fr-FR"/>
        </w:rPr>
        <w:t xml:space="preserve"> </w:t>
      </w:r>
      <w:r w:rsidR="00AB3FAF" w:rsidRPr="00C8316D">
        <w:rPr>
          <w:lang w:val="fr-FR"/>
        </w:rPr>
        <w:t>« </w:t>
      </w:r>
      <w:r w:rsidR="0037641F" w:rsidRPr="00C8316D">
        <w:rPr>
          <w:lang w:val="fr-FR"/>
        </w:rPr>
        <w:t>A5</w:t>
      </w:r>
      <w:r w:rsidR="00AB3FAF" w:rsidRPr="00C8316D">
        <w:rPr>
          <w:lang w:val="fr-FR"/>
        </w:rPr>
        <w:t> »</w:t>
      </w:r>
      <w:r w:rsidR="00281563" w:rsidRPr="00C8316D">
        <w:rPr>
          <w:lang w:val="fr-FR"/>
        </w:rPr>
        <w:t xml:space="preserve"> (Article 5)</w:t>
      </w:r>
    </w:p>
    <w:p w:rsidR="0037641F" w:rsidRPr="00C8316D" w:rsidRDefault="00EA7176" w:rsidP="00AB3FAF">
      <w:pPr>
        <w:pStyle w:val="Paragraphedeliste"/>
        <w:numPr>
          <w:ilvl w:val="0"/>
          <w:numId w:val="1"/>
        </w:numPr>
        <w:jc w:val="both"/>
        <w:rPr>
          <w:lang w:val="fr-FR"/>
        </w:rPr>
      </w:pPr>
      <w:r>
        <w:rPr>
          <w:lang w:val="fr-FR"/>
        </w:rPr>
        <w:t>l</w:t>
      </w:r>
      <w:r w:rsidR="00AB3FAF" w:rsidRPr="00C8316D">
        <w:rPr>
          <w:lang w:val="fr-FR"/>
        </w:rPr>
        <w:t>es ré</w:t>
      </w:r>
      <w:r w:rsidR="0037641F" w:rsidRPr="00C8316D">
        <w:rPr>
          <w:lang w:val="fr-FR"/>
        </w:rPr>
        <w:t>trofit</w:t>
      </w:r>
      <w:r w:rsidR="002C7E4A">
        <w:rPr>
          <w:lang w:val="fr-FR"/>
        </w:rPr>
        <w:t>s</w:t>
      </w:r>
      <w:r w:rsidR="0037641F" w:rsidRPr="00C8316D">
        <w:rPr>
          <w:lang w:val="fr-FR"/>
        </w:rPr>
        <w:t xml:space="preserve"> </w:t>
      </w:r>
      <w:r w:rsidR="00AB3FAF" w:rsidRPr="00C8316D">
        <w:rPr>
          <w:lang w:val="fr-FR"/>
        </w:rPr>
        <w:t xml:space="preserve">des installations aux </w:t>
      </w:r>
      <w:r w:rsidR="0037641F" w:rsidRPr="00C8316D">
        <w:rPr>
          <w:lang w:val="fr-FR"/>
        </w:rPr>
        <w:t xml:space="preserve">CFC </w:t>
      </w:r>
      <w:r w:rsidR="00AB3FAF" w:rsidRPr="00C8316D">
        <w:rPr>
          <w:lang w:val="fr-FR"/>
        </w:rPr>
        <w:t xml:space="preserve">sont </w:t>
      </w:r>
      <w:r w:rsidR="0037641F" w:rsidRPr="00C8316D">
        <w:rPr>
          <w:lang w:val="fr-FR"/>
        </w:rPr>
        <w:t>décalé</w:t>
      </w:r>
      <w:r w:rsidR="00AB3FAF" w:rsidRPr="00C8316D">
        <w:rPr>
          <w:lang w:val="fr-FR"/>
        </w:rPr>
        <w:t>s</w:t>
      </w:r>
      <w:r w:rsidR="0037641F" w:rsidRPr="00C8316D">
        <w:rPr>
          <w:lang w:val="fr-FR"/>
        </w:rPr>
        <w:t xml:space="preserve"> de 3 ans</w:t>
      </w:r>
      <w:r w:rsidR="00AB3FAF" w:rsidRPr="00C8316D">
        <w:rPr>
          <w:lang w:val="fr-FR"/>
        </w:rPr>
        <w:t xml:space="preserve"> par rapport à ceux de la métropole</w:t>
      </w:r>
    </w:p>
    <w:p w:rsidR="0037641F" w:rsidRPr="00C8316D" w:rsidRDefault="00EA7176" w:rsidP="0037641F">
      <w:pPr>
        <w:pStyle w:val="Paragraphedeliste"/>
        <w:numPr>
          <w:ilvl w:val="0"/>
          <w:numId w:val="1"/>
        </w:numPr>
        <w:jc w:val="both"/>
        <w:rPr>
          <w:lang w:val="fr-FR"/>
        </w:rPr>
      </w:pPr>
      <w:r>
        <w:rPr>
          <w:lang w:val="fr-FR"/>
        </w:rPr>
        <w:t>i</w:t>
      </w:r>
      <w:r w:rsidR="00AB3FAF" w:rsidRPr="00C8316D">
        <w:rPr>
          <w:lang w:val="fr-FR"/>
        </w:rPr>
        <w:t>l n’y a p</w:t>
      </w:r>
      <w:r w:rsidR="0037641F" w:rsidRPr="00C8316D">
        <w:rPr>
          <w:lang w:val="fr-FR"/>
        </w:rPr>
        <w:t>as de rétrofit des</w:t>
      </w:r>
      <w:r w:rsidR="00AB3FAF" w:rsidRPr="00C8316D">
        <w:rPr>
          <w:lang w:val="fr-FR"/>
        </w:rPr>
        <w:t xml:space="preserve"> installations aux</w:t>
      </w:r>
      <w:r w:rsidR="0037641F" w:rsidRPr="00C8316D">
        <w:rPr>
          <w:lang w:val="fr-FR"/>
        </w:rPr>
        <w:t xml:space="preserve"> HCFC</w:t>
      </w:r>
    </w:p>
    <w:p w:rsidR="00AB3FAF" w:rsidRPr="00C8316D" w:rsidRDefault="00EA7176" w:rsidP="0037641F">
      <w:pPr>
        <w:pStyle w:val="Paragraphedeliste"/>
        <w:numPr>
          <w:ilvl w:val="0"/>
          <w:numId w:val="1"/>
        </w:numPr>
        <w:jc w:val="both"/>
        <w:rPr>
          <w:lang w:val="fr-FR"/>
        </w:rPr>
      </w:pPr>
      <w:r>
        <w:rPr>
          <w:lang w:val="fr-FR"/>
        </w:rPr>
        <w:t>c</w:t>
      </w:r>
      <w:r w:rsidR="00AB3FAF" w:rsidRPr="00C8316D">
        <w:rPr>
          <w:lang w:val="fr-FR"/>
        </w:rPr>
        <w:t>oncernant les taux d’émissions, les PIB é</w:t>
      </w:r>
      <w:r w:rsidR="00281563" w:rsidRPr="00C8316D">
        <w:rPr>
          <w:lang w:val="fr-FR"/>
        </w:rPr>
        <w:t>tant de même niveau que dans le</w:t>
      </w:r>
      <w:r w:rsidR="00AB3FAF" w:rsidRPr="00C8316D">
        <w:rPr>
          <w:lang w:val="fr-FR"/>
        </w:rPr>
        <w:t xml:space="preserve"> groupe 1, les mêmes hypothèses « métropole décalée » sont prises en compte</w:t>
      </w:r>
    </w:p>
    <w:p w:rsidR="0037641F" w:rsidRPr="00C8316D" w:rsidRDefault="00EA7176" w:rsidP="0037641F">
      <w:pPr>
        <w:pStyle w:val="Paragraphedeliste"/>
        <w:numPr>
          <w:ilvl w:val="0"/>
          <w:numId w:val="1"/>
        </w:numPr>
        <w:jc w:val="both"/>
        <w:rPr>
          <w:lang w:val="fr-FR"/>
        </w:rPr>
      </w:pPr>
      <w:r>
        <w:rPr>
          <w:lang w:val="fr-FR"/>
        </w:rPr>
        <w:t>a</w:t>
      </w:r>
      <w:r w:rsidR="00AB3FAF" w:rsidRPr="00C8316D">
        <w:rPr>
          <w:lang w:val="fr-FR"/>
        </w:rPr>
        <w:t xml:space="preserve">ssocié à </w:t>
      </w:r>
      <w:r w:rsidR="00281563" w:rsidRPr="00C8316D">
        <w:rPr>
          <w:lang w:val="fr-FR"/>
        </w:rPr>
        <w:t xml:space="preserve">un </w:t>
      </w:r>
      <w:r w:rsidR="00AB3FAF" w:rsidRPr="00C8316D">
        <w:rPr>
          <w:lang w:val="fr-FR"/>
        </w:rPr>
        <w:t>niveau économique bas, l’absence de réglementation conduit à un niveau d’e</w:t>
      </w:r>
      <w:r w:rsidR="0037641F" w:rsidRPr="00C8316D">
        <w:rPr>
          <w:lang w:val="fr-FR"/>
        </w:rPr>
        <w:t>fficacité de récupération décalée de 20 ans</w:t>
      </w:r>
      <w:r w:rsidR="00AB3FAF" w:rsidRPr="00C8316D">
        <w:rPr>
          <w:lang w:val="fr-FR"/>
        </w:rPr>
        <w:t xml:space="preserve"> par ra</w:t>
      </w:r>
      <w:r>
        <w:rPr>
          <w:lang w:val="fr-FR"/>
        </w:rPr>
        <w:t>pport au niveau de la métropole</w:t>
      </w:r>
    </w:p>
    <w:p w:rsidR="00281563" w:rsidRPr="00C8316D" w:rsidRDefault="00EA7176" w:rsidP="00281563">
      <w:pPr>
        <w:pStyle w:val="Paragraphedeliste"/>
        <w:numPr>
          <w:ilvl w:val="0"/>
          <w:numId w:val="1"/>
        </w:numPr>
        <w:jc w:val="both"/>
        <w:rPr>
          <w:lang w:val="fr-FR"/>
        </w:rPr>
      </w:pPr>
      <w:r>
        <w:rPr>
          <w:lang w:val="fr-FR"/>
        </w:rPr>
        <w:t>l</w:t>
      </w:r>
      <w:r w:rsidR="00281563" w:rsidRPr="00C8316D">
        <w:rPr>
          <w:lang w:val="fr-FR"/>
        </w:rPr>
        <w:t>es charges moyennes ou ratios de charge sont ide</w:t>
      </w:r>
      <w:r w:rsidR="00C82C3B" w:rsidRPr="00C8316D">
        <w:rPr>
          <w:lang w:val="fr-FR"/>
        </w:rPr>
        <w:t>ntiques à ceux de la métropole.</w:t>
      </w:r>
    </w:p>
    <w:p w:rsidR="00C82C3B" w:rsidRPr="00C8316D" w:rsidRDefault="00C82C3B" w:rsidP="00311EBF">
      <w:pPr>
        <w:pStyle w:val="Paragraphedeliste"/>
        <w:jc w:val="both"/>
        <w:rPr>
          <w:lang w:val="fr-FR"/>
        </w:rPr>
      </w:pPr>
    </w:p>
    <w:p w:rsidR="00862FFF" w:rsidRDefault="00862FFF">
      <w:pPr>
        <w:rPr>
          <w:caps/>
          <w:spacing w:val="15"/>
          <w:sz w:val="22"/>
          <w:szCs w:val="22"/>
          <w:lang w:val="fr-FR"/>
        </w:rPr>
      </w:pPr>
      <w:r>
        <w:rPr>
          <w:lang w:val="fr-FR"/>
        </w:rPr>
        <w:br w:type="page"/>
      </w:r>
    </w:p>
    <w:p w:rsidR="0037641F" w:rsidRPr="00C8316D" w:rsidRDefault="00E712AC" w:rsidP="00E712AC">
      <w:pPr>
        <w:pStyle w:val="Titre2"/>
        <w:rPr>
          <w:lang w:val="fr-FR"/>
        </w:rPr>
      </w:pPr>
      <w:bookmarkStart w:id="11" w:name="_Toc310855637"/>
      <w:r w:rsidRPr="00C8316D">
        <w:rPr>
          <w:lang w:val="fr-FR"/>
        </w:rPr>
        <w:lastRenderedPageBreak/>
        <w:t xml:space="preserve">3.3 </w:t>
      </w:r>
      <w:r w:rsidR="0090308A" w:rsidRPr="00C8316D">
        <w:rPr>
          <w:lang w:val="fr-FR"/>
        </w:rPr>
        <w:t>SIMPLIFICATIONS</w:t>
      </w:r>
      <w:bookmarkEnd w:id="11"/>
    </w:p>
    <w:p w:rsidR="00281563" w:rsidRPr="00C8316D" w:rsidRDefault="00281563" w:rsidP="00281563">
      <w:pPr>
        <w:rPr>
          <w:lang w:val="fr-FR"/>
        </w:rPr>
      </w:pPr>
      <w:r w:rsidRPr="00C8316D">
        <w:rPr>
          <w:lang w:val="fr-FR"/>
        </w:rPr>
        <w:t xml:space="preserve">Faute d’informations disponibles, le parc des Pompes à Chaleur Résidentielles a été négligé. De même, </w:t>
      </w:r>
      <w:r w:rsidR="0090308A" w:rsidRPr="00C8316D">
        <w:rPr>
          <w:lang w:val="fr-FR"/>
        </w:rPr>
        <w:t>étant donné le type d’industries présent dans les territo</w:t>
      </w:r>
      <w:r w:rsidR="00862FFF">
        <w:rPr>
          <w:lang w:val="fr-FR"/>
        </w:rPr>
        <w:t>ir</w:t>
      </w:r>
      <w:r w:rsidR="0090308A" w:rsidRPr="00C8316D">
        <w:rPr>
          <w:lang w:val="fr-FR"/>
        </w:rPr>
        <w:t xml:space="preserve">es et la configuration géographique, </w:t>
      </w:r>
      <w:r w:rsidRPr="00C8316D">
        <w:rPr>
          <w:lang w:val="fr-FR"/>
        </w:rPr>
        <w:t xml:space="preserve">il a été considéré un </w:t>
      </w:r>
      <w:r w:rsidR="00853480" w:rsidRPr="00C8316D">
        <w:rPr>
          <w:lang w:val="fr-FR"/>
        </w:rPr>
        <w:t xml:space="preserve">parc et </w:t>
      </w:r>
      <w:r w:rsidR="00862FFF">
        <w:rPr>
          <w:lang w:val="fr-FR"/>
        </w:rPr>
        <w:t xml:space="preserve">un </w:t>
      </w:r>
      <w:r w:rsidR="00853480" w:rsidRPr="00C8316D">
        <w:rPr>
          <w:lang w:val="fr-FR"/>
        </w:rPr>
        <w:t xml:space="preserve">marché </w:t>
      </w:r>
      <w:r w:rsidRPr="00C8316D">
        <w:rPr>
          <w:lang w:val="fr-FR"/>
        </w:rPr>
        <w:t>nul</w:t>
      </w:r>
      <w:r w:rsidR="00862FFF">
        <w:rPr>
          <w:lang w:val="fr-FR"/>
        </w:rPr>
        <w:t>s</w:t>
      </w:r>
      <w:r w:rsidRPr="00C8316D">
        <w:rPr>
          <w:lang w:val="fr-FR"/>
        </w:rPr>
        <w:t xml:space="preserve"> pour les secteurs :</w:t>
      </w:r>
    </w:p>
    <w:p w:rsidR="00281563" w:rsidRPr="00C8316D" w:rsidRDefault="00862FFF" w:rsidP="00281563">
      <w:pPr>
        <w:pStyle w:val="Paragraphedeliste"/>
        <w:numPr>
          <w:ilvl w:val="0"/>
          <w:numId w:val="1"/>
        </w:numPr>
        <w:rPr>
          <w:lang w:val="fr-FR"/>
        </w:rPr>
      </w:pPr>
      <w:r>
        <w:rPr>
          <w:lang w:val="fr-FR"/>
        </w:rPr>
        <w:t>d</w:t>
      </w:r>
      <w:r w:rsidR="0090308A" w:rsidRPr="00C8316D">
        <w:rPr>
          <w:lang w:val="fr-FR"/>
        </w:rPr>
        <w:t>es trains (confirmé par la SNCF [PAS11]),</w:t>
      </w:r>
    </w:p>
    <w:p w:rsidR="00281563" w:rsidRPr="00C8316D" w:rsidRDefault="00862FFF" w:rsidP="00281563">
      <w:pPr>
        <w:pStyle w:val="Paragraphedeliste"/>
        <w:numPr>
          <w:ilvl w:val="0"/>
          <w:numId w:val="1"/>
        </w:numPr>
        <w:rPr>
          <w:lang w:val="fr-FR"/>
        </w:rPr>
      </w:pPr>
      <w:r>
        <w:rPr>
          <w:lang w:val="fr-FR"/>
        </w:rPr>
        <w:t>d</w:t>
      </w:r>
      <w:r w:rsidR="00281563" w:rsidRPr="00C8316D">
        <w:rPr>
          <w:lang w:val="fr-FR"/>
        </w:rPr>
        <w:t xml:space="preserve">es </w:t>
      </w:r>
      <w:r w:rsidR="0090308A" w:rsidRPr="00C8316D">
        <w:rPr>
          <w:lang w:val="fr-FR"/>
        </w:rPr>
        <w:t>systèmes "</w:t>
      </w:r>
      <w:r w:rsidR="00281563" w:rsidRPr="00C8316D">
        <w:rPr>
          <w:lang w:val="fr-FR"/>
        </w:rPr>
        <w:t>VRV</w:t>
      </w:r>
      <w:r w:rsidR="0090308A" w:rsidRPr="00C8316D">
        <w:rPr>
          <w:lang w:val="fr-FR"/>
        </w:rPr>
        <w:t>” en climatisation à air,</w:t>
      </w:r>
    </w:p>
    <w:p w:rsidR="00281563" w:rsidRPr="00C8316D" w:rsidRDefault="00862FFF" w:rsidP="00281563">
      <w:pPr>
        <w:pStyle w:val="Paragraphedeliste"/>
        <w:numPr>
          <w:ilvl w:val="0"/>
          <w:numId w:val="1"/>
        </w:numPr>
        <w:rPr>
          <w:lang w:val="fr-FR"/>
        </w:rPr>
      </w:pPr>
      <w:r>
        <w:rPr>
          <w:lang w:val="fr-FR"/>
        </w:rPr>
        <w:t>d</w:t>
      </w:r>
      <w:r w:rsidR="00281563" w:rsidRPr="00C8316D">
        <w:rPr>
          <w:lang w:val="fr-FR"/>
        </w:rPr>
        <w:t>es procédés industriels autres que le secteur agroalimentaire et chimique</w:t>
      </w:r>
      <w:r w:rsidR="0090308A" w:rsidRPr="00C8316D">
        <w:rPr>
          <w:lang w:val="fr-FR"/>
        </w:rPr>
        <w:t>,</w:t>
      </w:r>
    </w:p>
    <w:p w:rsidR="00281563" w:rsidRPr="00C8316D" w:rsidRDefault="00862FFF" w:rsidP="00281563">
      <w:pPr>
        <w:pStyle w:val="Paragraphedeliste"/>
        <w:numPr>
          <w:ilvl w:val="0"/>
          <w:numId w:val="1"/>
        </w:numPr>
        <w:rPr>
          <w:lang w:val="fr-FR"/>
        </w:rPr>
      </w:pPr>
      <w:r>
        <w:rPr>
          <w:lang w:val="fr-FR"/>
        </w:rPr>
        <w:t>d</w:t>
      </w:r>
      <w:r w:rsidR="00281563" w:rsidRPr="00C8316D">
        <w:rPr>
          <w:lang w:val="fr-FR"/>
        </w:rPr>
        <w:t>es chillers centrifuge</w:t>
      </w:r>
      <w:r>
        <w:rPr>
          <w:lang w:val="fr-FR"/>
        </w:rPr>
        <w:t>s</w:t>
      </w:r>
      <w:r w:rsidR="00281563" w:rsidRPr="00C8316D">
        <w:rPr>
          <w:lang w:val="fr-FR"/>
        </w:rPr>
        <w:t xml:space="preserve"> et de fortes puissances (présents dans le secteur industriel)</w:t>
      </w:r>
      <w:r w:rsidR="0090308A" w:rsidRPr="00C8316D">
        <w:rPr>
          <w:lang w:val="fr-FR"/>
        </w:rPr>
        <w:t>.</w:t>
      </w:r>
    </w:p>
    <w:p w:rsidR="0090308A" w:rsidRPr="00C8316D" w:rsidRDefault="00C8316D" w:rsidP="00C8316D">
      <w:pPr>
        <w:jc w:val="both"/>
        <w:rPr>
          <w:lang w:val="fr-FR"/>
        </w:rPr>
      </w:pPr>
      <w:r w:rsidRPr="00C8316D">
        <w:rPr>
          <w:lang w:val="fr-FR"/>
        </w:rPr>
        <w:t xml:space="preserve">De plus, il est considéré que l’ensemble des émissions liées au transport maritime est déjà pris en compte dans les chiffres de la métropole. Une décomposition de répartition </w:t>
      </w:r>
      <w:r w:rsidR="00862FFF">
        <w:rPr>
          <w:lang w:val="fr-FR"/>
        </w:rPr>
        <w:t>m</w:t>
      </w:r>
      <w:r w:rsidRPr="00C8316D">
        <w:rPr>
          <w:lang w:val="fr-FR"/>
        </w:rPr>
        <w:t xml:space="preserve">étropole/territoire sera </w:t>
      </w:r>
      <w:r w:rsidR="00C93BAD">
        <w:rPr>
          <w:lang w:val="fr-FR"/>
        </w:rPr>
        <w:t>proposée</w:t>
      </w:r>
      <w:r w:rsidRPr="00C8316D">
        <w:rPr>
          <w:lang w:val="fr-FR"/>
        </w:rPr>
        <w:t xml:space="preserve"> dans les prochains inventaires.</w:t>
      </w:r>
    </w:p>
    <w:p w:rsidR="00C9663A" w:rsidRDefault="0090308A" w:rsidP="00862FFF">
      <w:pPr>
        <w:jc w:val="both"/>
        <w:rPr>
          <w:lang w:val="fr-FR"/>
        </w:rPr>
      </w:pPr>
      <w:r w:rsidRPr="00C8316D">
        <w:rPr>
          <w:lang w:val="fr-FR"/>
        </w:rPr>
        <w:t>Par ailleurs, contrairement à la métropole, la production est nulle dans tous les secteurs, excepté le secteur industriel, et notamme</w:t>
      </w:r>
      <w:r w:rsidR="00862FFF">
        <w:rPr>
          <w:lang w:val="fr-FR"/>
        </w:rPr>
        <w:t xml:space="preserve">nt le secteur agroalimentaire. </w:t>
      </w:r>
    </w:p>
    <w:p w:rsidR="0090308A" w:rsidRPr="00C8316D" w:rsidRDefault="0090308A" w:rsidP="0090308A">
      <w:pPr>
        <w:rPr>
          <w:lang w:val="fr-FR"/>
        </w:rPr>
      </w:pPr>
    </w:p>
    <w:p w:rsidR="008B1168" w:rsidRPr="00C8316D" w:rsidRDefault="00E712AC" w:rsidP="00E712AC">
      <w:pPr>
        <w:pStyle w:val="Titre1"/>
        <w:rPr>
          <w:lang w:val="fr-FR"/>
        </w:rPr>
      </w:pPr>
      <w:bookmarkStart w:id="12" w:name="_Toc310855638"/>
      <w:r w:rsidRPr="00C8316D">
        <w:rPr>
          <w:lang w:val="fr-FR"/>
        </w:rPr>
        <w:t xml:space="preserve">4 – Statistiques </w:t>
      </w:r>
      <w:r w:rsidR="00853480" w:rsidRPr="00C8316D">
        <w:rPr>
          <w:lang w:val="fr-FR"/>
        </w:rPr>
        <w:t>et hypothèses par secteur</w:t>
      </w:r>
      <w:bookmarkEnd w:id="12"/>
    </w:p>
    <w:p w:rsidR="00853480" w:rsidRPr="00C8316D" w:rsidRDefault="00E661B8" w:rsidP="00853480">
      <w:pPr>
        <w:rPr>
          <w:lang w:val="fr-FR"/>
        </w:rPr>
      </w:pPr>
      <w:r>
        <w:rPr>
          <w:lang w:val="fr-FR"/>
        </w:rPr>
        <w:t xml:space="preserve">Cette partie récapitule </w:t>
      </w:r>
      <w:r w:rsidR="001774EC">
        <w:rPr>
          <w:lang w:val="fr-FR"/>
        </w:rPr>
        <w:t>les sources disponibles concernant les marchés et productions ainsi que les hypothèses pour l’année 2010.</w:t>
      </w:r>
    </w:p>
    <w:p w:rsidR="00853480" w:rsidRPr="00C8316D" w:rsidRDefault="00A43444" w:rsidP="00853480">
      <w:pPr>
        <w:pStyle w:val="Titre2"/>
        <w:rPr>
          <w:lang w:val="fr-FR"/>
        </w:rPr>
      </w:pPr>
      <w:bookmarkStart w:id="13" w:name="_Toc310855639"/>
      <w:r>
        <w:rPr>
          <w:lang w:val="fr-FR"/>
        </w:rPr>
        <w:t xml:space="preserve">4.1 </w:t>
      </w:r>
      <w:r w:rsidR="00853480" w:rsidRPr="00C8316D">
        <w:rPr>
          <w:lang w:val="fr-FR"/>
        </w:rPr>
        <w:t>Marchés et productions</w:t>
      </w:r>
      <w:bookmarkEnd w:id="13"/>
    </w:p>
    <w:p w:rsidR="00853480" w:rsidRPr="00C8316D" w:rsidRDefault="00853480" w:rsidP="00853480">
      <w:pPr>
        <w:rPr>
          <w:lang w:val="fr-FR"/>
        </w:rPr>
      </w:pPr>
    </w:p>
    <w:p w:rsidR="00853480" w:rsidRPr="00C8316D" w:rsidRDefault="00A43444" w:rsidP="00F54083">
      <w:pPr>
        <w:pStyle w:val="Titre3"/>
        <w:rPr>
          <w:lang w:val="fr-FR"/>
        </w:rPr>
      </w:pPr>
      <w:bookmarkStart w:id="14" w:name="_Toc310855640"/>
      <w:r>
        <w:rPr>
          <w:lang w:val="fr-FR"/>
        </w:rPr>
        <w:t xml:space="preserve">4.1.1 </w:t>
      </w:r>
      <w:r w:rsidR="00853480" w:rsidRPr="00C8316D">
        <w:rPr>
          <w:lang w:val="fr-FR"/>
        </w:rPr>
        <w:t>Froid domestique</w:t>
      </w:r>
      <w:bookmarkEnd w:id="14"/>
    </w:p>
    <w:p w:rsidR="00853480" w:rsidRPr="00C8316D" w:rsidRDefault="00853480" w:rsidP="00853480">
      <w:pPr>
        <w:rPr>
          <w:lang w:val="fr-FR"/>
        </w:rPr>
      </w:pPr>
      <w:r w:rsidRPr="00C8316D">
        <w:rPr>
          <w:lang w:val="fr-FR"/>
        </w:rPr>
        <w:t>La production d’équipements de froid domestique dans les DOM COM est nulle.</w:t>
      </w:r>
    </w:p>
    <w:p w:rsidR="00922101" w:rsidRDefault="00853480" w:rsidP="000570D5">
      <w:pPr>
        <w:jc w:val="both"/>
        <w:rPr>
          <w:lang w:val="fr-FR"/>
        </w:rPr>
      </w:pPr>
      <w:r w:rsidRPr="00C8316D">
        <w:rPr>
          <w:lang w:val="fr-FR"/>
        </w:rPr>
        <w:t xml:space="preserve">Quelques statistiques de taux d’équipements des ménages en réfrigérateurs et congélateurs </w:t>
      </w:r>
      <w:r w:rsidR="002F2FEE">
        <w:rPr>
          <w:lang w:val="fr-FR"/>
        </w:rPr>
        <w:t>sont disponibles par territoire pour quelques années</w:t>
      </w:r>
      <w:r w:rsidR="00EF4F7B">
        <w:rPr>
          <w:lang w:val="fr-FR"/>
        </w:rPr>
        <w:t>. Elle</w:t>
      </w:r>
      <w:r w:rsidR="00C9663A">
        <w:rPr>
          <w:lang w:val="fr-FR"/>
        </w:rPr>
        <w:t>s sont récapitulées au tableau 4.</w:t>
      </w:r>
    </w:p>
    <w:p w:rsidR="00EF4F7B" w:rsidRPr="00282BAC" w:rsidRDefault="00C9663A" w:rsidP="00C9663A">
      <w:pPr>
        <w:pStyle w:val="Sous-titre"/>
        <w:spacing w:after="100"/>
        <w:jc w:val="center"/>
        <w:rPr>
          <w:sz w:val="22"/>
          <w:szCs w:val="22"/>
          <w:lang w:val="fr-FR"/>
        </w:rPr>
      </w:pPr>
      <w:r w:rsidRPr="00282BAC">
        <w:rPr>
          <w:sz w:val="22"/>
          <w:szCs w:val="22"/>
          <w:lang w:val="fr-FR"/>
        </w:rPr>
        <w:t>Tableau 4</w:t>
      </w:r>
      <w:r w:rsidR="00EF4F7B" w:rsidRPr="00282BAC">
        <w:rPr>
          <w:sz w:val="22"/>
          <w:szCs w:val="22"/>
          <w:lang w:val="fr-FR"/>
        </w:rPr>
        <w:t xml:space="preserve"> – </w:t>
      </w:r>
      <w:r w:rsidR="00327A01">
        <w:rPr>
          <w:sz w:val="22"/>
          <w:szCs w:val="22"/>
          <w:lang w:val="fr-FR"/>
        </w:rPr>
        <w:t>taux d’equipement en</w:t>
      </w:r>
      <w:r w:rsidR="00EF4F7B" w:rsidRPr="00282BAC">
        <w:rPr>
          <w:sz w:val="22"/>
          <w:szCs w:val="22"/>
          <w:lang w:val="fr-FR"/>
        </w:rPr>
        <w:t xml:space="preserve"> froid domestique</w:t>
      </w:r>
      <w:r w:rsidR="00AE1334" w:rsidRPr="00282BAC">
        <w:rPr>
          <w:sz w:val="22"/>
          <w:szCs w:val="22"/>
          <w:lang w:val="fr-FR"/>
        </w:rPr>
        <w:t xml:space="preserve"> (</w:t>
      </w:r>
      <w:r w:rsidR="00AE1334" w:rsidRPr="00282BAC">
        <w:rPr>
          <w:rFonts w:cstheme="minorHAnsi"/>
          <w:sz w:val="22"/>
          <w:szCs w:val="22"/>
          <w:lang w:val="fr-FR"/>
        </w:rPr>
        <w:t>[</w:t>
      </w:r>
      <w:r w:rsidR="00AE1334" w:rsidRPr="00282BAC">
        <w:rPr>
          <w:rFonts w:cstheme="minorHAnsi"/>
          <w:color w:val="4F81BD" w:themeColor="accent1"/>
          <w:sz w:val="22"/>
          <w:szCs w:val="22"/>
          <w:lang w:val="fr-FR"/>
        </w:rPr>
        <w:t>TER11</w:t>
      </w:r>
      <w:r w:rsidR="00AE1334" w:rsidRPr="00282BAC">
        <w:rPr>
          <w:rFonts w:cstheme="minorHAnsi"/>
          <w:sz w:val="22"/>
          <w:szCs w:val="22"/>
          <w:lang w:val="fr-FR"/>
        </w:rPr>
        <w:t>]</w:t>
      </w:r>
      <w:r w:rsidR="00AE1334" w:rsidRPr="00282BAC">
        <w:rPr>
          <w:sz w:val="22"/>
          <w:szCs w:val="22"/>
          <w:lang w:val="fr-FR"/>
        </w:rPr>
        <w:t>, [</w:t>
      </w:r>
      <w:r w:rsidR="00AE1334" w:rsidRPr="00282BAC">
        <w:rPr>
          <w:color w:val="1F497D" w:themeColor="text2"/>
          <w:sz w:val="22"/>
          <w:szCs w:val="22"/>
          <w:lang w:val="fr-FR"/>
        </w:rPr>
        <w:t>TEC06</w:t>
      </w:r>
      <w:r w:rsidR="00AE1334" w:rsidRPr="00282BAC">
        <w:rPr>
          <w:sz w:val="22"/>
          <w:szCs w:val="22"/>
          <w:lang w:val="fr-FR"/>
        </w:rPr>
        <w:t>], [</w:t>
      </w:r>
      <w:r w:rsidR="00AE1334" w:rsidRPr="00282BAC">
        <w:rPr>
          <w:color w:val="31849B" w:themeColor="accent5" w:themeShade="BF"/>
          <w:sz w:val="22"/>
          <w:szCs w:val="22"/>
          <w:lang w:val="fr-FR"/>
        </w:rPr>
        <w:t>TEM07</w:t>
      </w:r>
      <w:r w:rsidR="00AE1334" w:rsidRPr="00282BAC">
        <w:rPr>
          <w:sz w:val="22"/>
          <w:szCs w:val="22"/>
          <w:lang w:val="fr-FR"/>
        </w:rPr>
        <w:t>])</w:t>
      </w:r>
    </w:p>
    <w:tbl>
      <w:tblPr>
        <w:tblStyle w:val="Grilledutableau"/>
        <w:tblW w:w="8931" w:type="dxa"/>
        <w:jc w:val="center"/>
        <w:tblInd w:w="-176" w:type="dxa"/>
        <w:tblLayout w:type="fixed"/>
        <w:tblLook w:val="04A0"/>
      </w:tblPr>
      <w:tblGrid>
        <w:gridCol w:w="851"/>
        <w:gridCol w:w="1134"/>
        <w:gridCol w:w="1134"/>
        <w:gridCol w:w="851"/>
        <w:gridCol w:w="850"/>
        <w:gridCol w:w="1134"/>
        <w:gridCol w:w="993"/>
        <w:gridCol w:w="992"/>
        <w:gridCol w:w="992"/>
      </w:tblGrid>
      <w:tr w:rsidR="002F2FEE" w:rsidRPr="004E737B" w:rsidTr="00997012">
        <w:trPr>
          <w:jc w:val="center"/>
        </w:trPr>
        <w:tc>
          <w:tcPr>
            <w:tcW w:w="851" w:type="dxa"/>
            <w:shd w:val="clear" w:color="auto" w:fill="C6D9F1" w:themeFill="text2" w:themeFillTint="33"/>
            <w:vAlign w:val="center"/>
          </w:tcPr>
          <w:p w:rsidR="00EF4F7B" w:rsidRPr="002F2FEE" w:rsidRDefault="00EF4F7B" w:rsidP="002F2FEE">
            <w:pPr>
              <w:spacing w:before="0"/>
              <w:rPr>
                <w:rFonts w:cstheme="minorHAnsi"/>
                <w:b/>
                <w:sz w:val="18"/>
                <w:szCs w:val="18"/>
                <w:lang w:val="fr-FR"/>
              </w:rPr>
            </w:pPr>
            <w:r w:rsidRPr="002F2FEE">
              <w:rPr>
                <w:rFonts w:cstheme="minorHAnsi"/>
                <w:b/>
                <w:sz w:val="18"/>
                <w:szCs w:val="18"/>
                <w:lang w:val="fr-FR"/>
              </w:rPr>
              <w:t>Réfrigé</w:t>
            </w:r>
            <w:r w:rsidR="002F2FEE">
              <w:rPr>
                <w:rFonts w:cstheme="minorHAnsi"/>
                <w:b/>
                <w:sz w:val="18"/>
                <w:szCs w:val="18"/>
                <w:lang w:val="fr-FR"/>
              </w:rPr>
              <w:t>-</w:t>
            </w:r>
            <w:r w:rsidRPr="002F2FEE">
              <w:rPr>
                <w:rFonts w:cstheme="minorHAnsi"/>
                <w:b/>
                <w:sz w:val="18"/>
                <w:szCs w:val="18"/>
                <w:lang w:val="fr-FR"/>
              </w:rPr>
              <w:t>rateurs</w:t>
            </w:r>
          </w:p>
        </w:tc>
        <w:tc>
          <w:tcPr>
            <w:tcW w:w="1134" w:type="dxa"/>
            <w:shd w:val="clear" w:color="auto" w:fill="C6D9F1" w:themeFill="text2" w:themeFillTint="33"/>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Martinique</w:t>
            </w:r>
          </w:p>
        </w:tc>
        <w:tc>
          <w:tcPr>
            <w:tcW w:w="1134" w:type="dxa"/>
            <w:shd w:val="clear" w:color="auto" w:fill="C6D9F1" w:themeFill="text2" w:themeFillTint="33"/>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Guadeloupe</w:t>
            </w:r>
          </w:p>
        </w:tc>
        <w:tc>
          <w:tcPr>
            <w:tcW w:w="851" w:type="dxa"/>
            <w:shd w:val="clear" w:color="auto" w:fill="C6D9F1" w:themeFill="text2" w:themeFillTint="33"/>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Guyane</w:t>
            </w:r>
          </w:p>
        </w:tc>
        <w:tc>
          <w:tcPr>
            <w:tcW w:w="850" w:type="dxa"/>
            <w:shd w:val="clear" w:color="auto" w:fill="C6D9F1" w:themeFill="text2" w:themeFillTint="33"/>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Réunion</w:t>
            </w:r>
          </w:p>
        </w:tc>
        <w:tc>
          <w:tcPr>
            <w:tcW w:w="1134" w:type="dxa"/>
            <w:shd w:val="clear" w:color="auto" w:fill="C6D9F1" w:themeFill="text2" w:themeFillTint="33"/>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St Pierre &amp; Miquelon</w:t>
            </w:r>
          </w:p>
        </w:tc>
        <w:tc>
          <w:tcPr>
            <w:tcW w:w="993" w:type="dxa"/>
            <w:shd w:val="clear" w:color="auto" w:fill="C6D9F1" w:themeFill="text2" w:themeFillTint="33"/>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Mayotte</w:t>
            </w:r>
          </w:p>
        </w:tc>
        <w:tc>
          <w:tcPr>
            <w:tcW w:w="992" w:type="dxa"/>
            <w:shd w:val="clear" w:color="auto" w:fill="C6D9F1" w:themeFill="text2" w:themeFillTint="33"/>
            <w:vAlign w:val="center"/>
          </w:tcPr>
          <w:p w:rsidR="00EF4F7B" w:rsidRPr="002F2FEE" w:rsidRDefault="00624475" w:rsidP="002F2FEE">
            <w:pPr>
              <w:spacing w:before="0"/>
              <w:jc w:val="center"/>
              <w:rPr>
                <w:rFonts w:cstheme="minorHAnsi"/>
                <w:sz w:val="18"/>
                <w:szCs w:val="18"/>
                <w:lang w:val="fr-FR"/>
              </w:rPr>
            </w:pPr>
            <w:r w:rsidRPr="002F2FEE">
              <w:rPr>
                <w:rFonts w:cstheme="minorHAnsi"/>
                <w:sz w:val="18"/>
                <w:szCs w:val="18"/>
                <w:lang w:val="fr-FR"/>
              </w:rPr>
              <w:t>Nouvelle Calédonie</w:t>
            </w:r>
          </w:p>
        </w:tc>
        <w:tc>
          <w:tcPr>
            <w:tcW w:w="992" w:type="dxa"/>
            <w:shd w:val="clear" w:color="auto" w:fill="C6D9F1" w:themeFill="text2" w:themeFillTint="33"/>
            <w:vAlign w:val="center"/>
          </w:tcPr>
          <w:p w:rsidR="00EF4F7B" w:rsidRPr="002F2FEE" w:rsidRDefault="00624475" w:rsidP="002F2FEE">
            <w:pPr>
              <w:spacing w:before="0"/>
              <w:jc w:val="center"/>
              <w:rPr>
                <w:rFonts w:cstheme="minorHAnsi"/>
                <w:sz w:val="18"/>
                <w:szCs w:val="18"/>
                <w:lang w:val="fr-FR"/>
              </w:rPr>
            </w:pPr>
            <w:r w:rsidRPr="002F2FEE">
              <w:rPr>
                <w:rFonts w:cstheme="minorHAnsi"/>
                <w:sz w:val="18"/>
                <w:szCs w:val="18"/>
                <w:lang w:val="fr-FR"/>
              </w:rPr>
              <w:t>Polynésie Franç</w:t>
            </w:r>
            <w:r w:rsidR="00AE1334" w:rsidRPr="002F2FEE">
              <w:rPr>
                <w:rFonts w:cstheme="minorHAnsi"/>
                <w:sz w:val="18"/>
                <w:szCs w:val="18"/>
                <w:lang w:val="fr-FR"/>
              </w:rPr>
              <w:t>aise</w:t>
            </w:r>
          </w:p>
        </w:tc>
      </w:tr>
      <w:tr w:rsidR="002F2FEE" w:rsidRPr="004E737B" w:rsidTr="00997012">
        <w:trPr>
          <w:jc w:val="center"/>
        </w:trPr>
        <w:tc>
          <w:tcPr>
            <w:tcW w:w="851" w:type="dxa"/>
            <w:vAlign w:val="center"/>
          </w:tcPr>
          <w:p w:rsidR="00624475" w:rsidRPr="002F2FEE" w:rsidRDefault="00624475" w:rsidP="002F2FEE">
            <w:pPr>
              <w:spacing w:before="0"/>
              <w:rPr>
                <w:rFonts w:cstheme="minorHAnsi"/>
                <w:sz w:val="18"/>
                <w:szCs w:val="18"/>
                <w:lang w:val="fr-FR"/>
              </w:rPr>
            </w:pPr>
            <w:r w:rsidRPr="002F2FEE">
              <w:rPr>
                <w:rFonts w:cstheme="minorHAnsi"/>
                <w:sz w:val="18"/>
                <w:szCs w:val="18"/>
                <w:lang w:val="fr-FR"/>
              </w:rPr>
              <w:t>1999</w:t>
            </w: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851" w:type="dxa"/>
            <w:vAlign w:val="center"/>
          </w:tcPr>
          <w:p w:rsidR="00624475" w:rsidRPr="002F2FEE" w:rsidRDefault="00624475" w:rsidP="002F2FEE">
            <w:pPr>
              <w:spacing w:before="0"/>
              <w:jc w:val="center"/>
              <w:rPr>
                <w:rFonts w:cstheme="minorHAnsi"/>
                <w:sz w:val="18"/>
                <w:szCs w:val="18"/>
                <w:lang w:val="fr-FR"/>
              </w:rPr>
            </w:pPr>
          </w:p>
        </w:tc>
        <w:tc>
          <w:tcPr>
            <w:tcW w:w="850" w:type="dxa"/>
            <w:vAlign w:val="center"/>
          </w:tcPr>
          <w:p w:rsidR="00624475" w:rsidRPr="002F2FEE" w:rsidRDefault="00624475" w:rsidP="002F2FEE">
            <w:pPr>
              <w:spacing w:before="0"/>
              <w:jc w:val="center"/>
              <w:rPr>
                <w:rFonts w:cstheme="minorHAnsi"/>
                <w:color w:val="4F81BD" w:themeColor="accent1"/>
                <w:sz w:val="18"/>
                <w:szCs w:val="18"/>
                <w:lang w:val="fr-FR"/>
              </w:rPr>
            </w:pPr>
            <w:r w:rsidRPr="002F2FEE">
              <w:rPr>
                <w:rFonts w:cstheme="minorHAnsi"/>
                <w:color w:val="4F81BD" w:themeColor="accent1"/>
                <w:sz w:val="18"/>
                <w:szCs w:val="18"/>
                <w:lang w:val="fr-FR"/>
              </w:rPr>
              <w:t>95,4</w:t>
            </w:r>
            <w:r w:rsidR="00862FFF">
              <w:rPr>
                <w:rFonts w:cstheme="minorHAnsi"/>
                <w:color w:val="4F81BD" w:themeColor="accent1"/>
                <w:sz w:val="18"/>
                <w:szCs w:val="18"/>
                <w:lang w:val="fr-FR"/>
              </w:rPr>
              <w:t xml:space="preserve"> </w:t>
            </w:r>
            <w:r w:rsidRPr="002F2FEE">
              <w:rPr>
                <w:rFonts w:cstheme="minorHAnsi"/>
                <w:color w:val="4F81BD" w:themeColor="accent1"/>
                <w:sz w:val="18"/>
                <w:szCs w:val="18"/>
                <w:lang w:val="fr-FR"/>
              </w:rPr>
              <w:t>%</w:t>
            </w: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993" w:type="dxa"/>
            <w:vAlign w:val="center"/>
          </w:tcPr>
          <w:p w:rsidR="00624475" w:rsidRPr="002F2FEE" w:rsidRDefault="00624475" w:rsidP="002F2FEE">
            <w:pPr>
              <w:spacing w:before="0"/>
              <w:jc w:val="center"/>
              <w:rPr>
                <w:rFonts w:cstheme="minorHAnsi"/>
                <w:sz w:val="18"/>
                <w:szCs w:val="18"/>
                <w:lang w:val="fr-FR"/>
              </w:rPr>
            </w:pPr>
          </w:p>
        </w:tc>
        <w:tc>
          <w:tcPr>
            <w:tcW w:w="992" w:type="dxa"/>
            <w:vAlign w:val="center"/>
          </w:tcPr>
          <w:p w:rsidR="00624475" w:rsidRPr="002F2FEE" w:rsidRDefault="00624475" w:rsidP="002F2FEE">
            <w:pPr>
              <w:spacing w:before="0"/>
              <w:jc w:val="center"/>
              <w:rPr>
                <w:rFonts w:cstheme="minorHAnsi"/>
                <w:sz w:val="18"/>
                <w:szCs w:val="18"/>
                <w:lang w:val="fr-FR"/>
              </w:rPr>
            </w:pPr>
          </w:p>
        </w:tc>
        <w:tc>
          <w:tcPr>
            <w:tcW w:w="992" w:type="dxa"/>
            <w:vAlign w:val="center"/>
          </w:tcPr>
          <w:p w:rsidR="00624475" w:rsidRPr="002F2FEE" w:rsidRDefault="00624475" w:rsidP="002F2FEE">
            <w:pPr>
              <w:spacing w:before="0"/>
              <w:jc w:val="center"/>
              <w:rPr>
                <w:rFonts w:cstheme="minorHAnsi"/>
                <w:sz w:val="18"/>
                <w:szCs w:val="18"/>
                <w:lang w:val="fr-FR"/>
              </w:rPr>
            </w:pPr>
          </w:p>
        </w:tc>
      </w:tr>
      <w:tr w:rsidR="002F2FEE" w:rsidRPr="004E737B" w:rsidTr="00997012">
        <w:trPr>
          <w:jc w:val="center"/>
        </w:trPr>
        <w:tc>
          <w:tcPr>
            <w:tcW w:w="851" w:type="dxa"/>
            <w:vAlign w:val="center"/>
          </w:tcPr>
          <w:p w:rsidR="00EF4F7B" w:rsidRPr="002F2FEE" w:rsidRDefault="00EF4F7B" w:rsidP="002F2FEE">
            <w:pPr>
              <w:spacing w:before="0"/>
              <w:rPr>
                <w:rFonts w:cstheme="minorHAnsi"/>
                <w:sz w:val="18"/>
                <w:szCs w:val="18"/>
                <w:lang w:val="fr-FR"/>
              </w:rPr>
            </w:pPr>
            <w:r w:rsidRPr="002F2FEE">
              <w:rPr>
                <w:rFonts w:cstheme="minorHAnsi"/>
                <w:sz w:val="18"/>
                <w:szCs w:val="18"/>
                <w:lang w:val="fr-FR"/>
              </w:rPr>
              <w:t>2001</w:t>
            </w:r>
          </w:p>
        </w:tc>
        <w:tc>
          <w:tcPr>
            <w:tcW w:w="1134" w:type="dxa"/>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90,4</w:t>
            </w:r>
            <w:r w:rsidR="00862FFF">
              <w:rPr>
                <w:rFonts w:cstheme="minorHAnsi"/>
                <w:sz w:val="18"/>
                <w:szCs w:val="18"/>
                <w:lang w:val="fr-FR"/>
              </w:rPr>
              <w:t xml:space="preserve"> </w:t>
            </w:r>
            <w:r w:rsidRPr="002F2FEE">
              <w:rPr>
                <w:rFonts w:cstheme="minorHAnsi"/>
                <w:sz w:val="18"/>
                <w:szCs w:val="18"/>
                <w:lang w:val="fr-FR"/>
              </w:rPr>
              <w:t>%</w:t>
            </w:r>
          </w:p>
        </w:tc>
        <w:tc>
          <w:tcPr>
            <w:tcW w:w="1134" w:type="dxa"/>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90,9</w:t>
            </w:r>
            <w:r w:rsidR="00862FFF">
              <w:rPr>
                <w:rFonts w:cstheme="minorHAnsi"/>
                <w:sz w:val="18"/>
                <w:szCs w:val="18"/>
                <w:lang w:val="fr-FR"/>
              </w:rPr>
              <w:t xml:space="preserve"> </w:t>
            </w:r>
            <w:r w:rsidRPr="002F2FEE">
              <w:rPr>
                <w:rFonts w:cstheme="minorHAnsi"/>
                <w:sz w:val="18"/>
                <w:szCs w:val="18"/>
                <w:lang w:val="fr-FR"/>
              </w:rPr>
              <w:t>%</w:t>
            </w:r>
          </w:p>
        </w:tc>
        <w:tc>
          <w:tcPr>
            <w:tcW w:w="851" w:type="dxa"/>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78,9</w:t>
            </w:r>
            <w:r w:rsidR="00862FFF">
              <w:rPr>
                <w:rFonts w:cstheme="minorHAnsi"/>
                <w:sz w:val="18"/>
                <w:szCs w:val="18"/>
                <w:lang w:val="fr-FR"/>
              </w:rPr>
              <w:t xml:space="preserve"> </w:t>
            </w:r>
            <w:r w:rsidRPr="002F2FEE">
              <w:rPr>
                <w:rFonts w:cstheme="minorHAnsi"/>
                <w:sz w:val="18"/>
                <w:szCs w:val="18"/>
                <w:lang w:val="fr-FR"/>
              </w:rPr>
              <w:t>%</w:t>
            </w:r>
          </w:p>
        </w:tc>
        <w:tc>
          <w:tcPr>
            <w:tcW w:w="850" w:type="dxa"/>
            <w:vAlign w:val="center"/>
          </w:tcPr>
          <w:p w:rsidR="00EF4F7B" w:rsidRPr="002F2FEE" w:rsidRDefault="00624475" w:rsidP="002F2FEE">
            <w:pPr>
              <w:spacing w:before="0"/>
              <w:jc w:val="center"/>
              <w:rPr>
                <w:rFonts w:cstheme="minorHAnsi"/>
                <w:sz w:val="18"/>
                <w:szCs w:val="18"/>
                <w:lang w:val="fr-FR"/>
              </w:rPr>
            </w:pPr>
            <w:r w:rsidRPr="002F2FEE">
              <w:rPr>
                <w:rFonts w:cstheme="minorHAnsi"/>
                <w:color w:val="4F81BD" w:themeColor="accent1"/>
                <w:sz w:val="18"/>
                <w:szCs w:val="18"/>
                <w:lang w:val="fr-FR"/>
              </w:rPr>
              <w:t>98,6</w:t>
            </w:r>
            <w:r w:rsidR="00862FFF">
              <w:rPr>
                <w:rFonts w:cstheme="minorHAnsi"/>
                <w:color w:val="4F81BD" w:themeColor="accent1"/>
                <w:sz w:val="18"/>
                <w:szCs w:val="18"/>
                <w:lang w:val="fr-FR"/>
              </w:rPr>
              <w:t xml:space="preserve"> </w:t>
            </w:r>
            <w:r w:rsidRPr="002F2FEE">
              <w:rPr>
                <w:rFonts w:cstheme="minorHAnsi"/>
                <w:color w:val="4F81BD" w:themeColor="accent1"/>
                <w:sz w:val="18"/>
                <w:szCs w:val="18"/>
                <w:lang w:val="fr-FR"/>
              </w:rPr>
              <w:t>%</w:t>
            </w:r>
          </w:p>
        </w:tc>
        <w:tc>
          <w:tcPr>
            <w:tcW w:w="1134" w:type="dxa"/>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90,4</w:t>
            </w:r>
            <w:r w:rsidR="00862FFF">
              <w:rPr>
                <w:rFonts w:cstheme="minorHAnsi"/>
                <w:sz w:val="18"/>
                <w:szCs w:val="18"/>
                <w:lang w:val="fr-FR"/>
              </w:rPr>
              <w:t xml:space="preserve"> </w:t>
            </w:r>
            <w:r w:rsidRPr="002F2FEE">
              <w:rPr>
                <w:rFonts w:cstheme="minorHAnsi"/>
                <w:sz w:val="18"/>
                <w:szCs w:val="18"/>
                <w:lang w:val="fr-FR"/>
              </w:rPr>
              <w:t>%</w:t>
            </w:r>
          </w:p>
        </w:tc>
        <w:tc>
          <w:tcPr>
            <w:tcW w:w="993" w:type="dxa"/>
            <w:vAlign w:val="center"/>
          </w:tcPr>
          <w:p w:rsidR="00EF4F7B" w:rsidRPr="002F2FEE" w:rsidRDefault="00EF4F7B" w:rsidP="002F2FEE">
            <w:pPr>
              <w:spacing w:before="0"/>
              <w:jc w:val="center"/>
              <w:rPr>
                <w:rFonts w:cstheme="minorHAnsi"/>
                <w:sz w:val="18"/>
                <w:szCs w:val="18"/>
                <w:lang w:val="fr-FR"/>
              </w:rPr>
            </w:pPr>
          </w:p>
        </w:tc>
        <w:tc>
          <w:tcPr>
            <w:tcW w:w="992" w:type="dxa"/>
            <w:vAlign w:val="center"/>
          </w:tcPr>
          <w:p w:rsidR="00EF4F7B" w:rsidRPr="002F2FEE" w:rsidRDefault="00EF4F7B" w:rsidP="002F2FEE">
            <w:pPr>
              <w:spacing w:before="0"/>
              <w:jc w:val="center"/>
              <w:rPr>
                <w:rFonts w:cstheme="minorHAnsi"/>
                <w:sz w:val="18"/>
                <w:szCs w:val="18"/>
                <w:lang w:val="fr-FR"/>
              </w:rPr>
            </w:pPr>
          </w:p>
        </w:tc>
        <w:tc>
          <w:tcPr>
            <w:tcW w:w="992" w:type="dxa"/>
            <w:vAlign w:val="center"/>
          </w:tcPr>
          <w:p w:rsidR="00EF4F7B" w:rsidRPr="002F2FEE" w:rsidRDefault="00EF4F7B" w:rsidP="002F2FEE">
            <w:pPr>
              <w:spacing w:before="0"/>
              <w:jc w:val="center"/>
              <w:rPr>
                <w:rFonts w:cstheme="minorHAnsi"/>
                <w:sz w:val="18"/>
                <w:szCs w:val="18"/>
                <w:lang w:val="fr-FR"/>
              </w:rPr>
            </w:pPr>
          </w:p>
        </w:tc>
      </w:tr>
      <w:tr w:rsidR="002F2FEE" w:rsidRPr="004E737B" w:rsidTr="00997012">
        <w:trPr>
          <w:jc w:val="center"/>
        </w:trPr>
        <w:tc>
          <w:tcPr>
            <w:tcW w:w="851" w:type="dxa"/>
            <w:vAlign w:val="center"/>
          </w:tcPr>
          <w:p w:rsidR="004E737B" w:rsidRPr="002F2FEE" w:rsidRDefault="004E737B" w:rsidP="002F2FEE">
            <w:pPr>
              <w:spacing w:before="0"/>
              <w:rPr>
                <w:rFonts w:cstheme="minorHAnsi"/>
                <w:sz w:val="18"/>
                <w:szCs w:val="18"/>
                <w:lang w:val="fr-FR"/>
              </w:rPr>
            </w:pPr>
            <w:r w:rsidRPr="002F2FEE">
              <w:rPr>
                <w:rFonts w:cstheme="minorHAnsi"/>
                <w:sz w:val="18"/>
                <w:szCs w:val="18"/>
                <w:lang w:val="fr-FR"/>
              </w:rPr>
              <w:t>2002</w:t>
            </w:r>
          </w:p>
        </w:tc>
        <w:tc>
          <w:tcPr>
            <w:tcW w:w="1134" w:type="dxa"/>
            <w:vAlign w:val="center"/>
          </w:tcPr>
          <w:p w:rsidR="004E737B" w:rsidRPr="002F2FEE" w:rsidRDefault="004E737B" w:rsidP="002F2FEE">
            <w:pPr>
              <w:spacing w:before="0"/>
              <w:jc w:val="center"/>
              <w:rPr>
                <w:rFonts w:cstheme="minorHAnsi"/>
                <w:color w:val="1F497D" w:themeColor="text2"/>
                <w:sz w:val="18"/>
                <w:szCs w:val="18"/>
                <w:lang w:val="fr-FR"/>
              </w:rPr>
            </w:pPr>
          </w:p>
        </w:tc>
        <w:tc>
          <w:tcPr>
            <w:tcW w:w="1134" w:type="dxa"/>
            <w:vAlign w:val="center"/>
          </w:tcPr>
          <w:p w:rsidR="004E737B" w:rsidRPr="002F2FEE" w:rsidRDefault="004E737B" w:rsidP="002F2FEE">
            <w:pPr>
              <w:spacing w:before="0"/>
              <w:jc w:val="center"/>
              <w:rPr>
                <w:rFonts w:cstheme="minorHAnsi"/>
                <w:sz w:val="18"/>
                <w:szCs w:val="18"/>
                <w:lang w:val="fr-FR"/>
              </w:rPr>
            </w:pPr>
          </w:p>
        </w:tc>
        <w:tc>
          <w:tcPr>
            <w:tcW w:w="851" w:type="dxa"/>
            <w:vAlign w:val="center"/>
          </w:tcPr>
          <w:p w:rsidR="004E737B" w:rsidRPr="002F2FEE" w:rsidRDefault="004E737B" w:rsidP="002F2FEE">
            <w:pPr>
              <w:spacing w:before="0"/>
              <w:jc w:val="center"/>
              <w:rPr>
                <w:rFonts w:cstheme="minorHAnsi"/>
                <w:color w:val="1F497D" w:themeColor="text2"/>
                <w:sz w:val="18"/>
                <w:szCs w:val="18"/>
                <w:lang w:val="fr-FR"/>
              </w:rPr>
            </w:pPr>
          </w:p>
        </w:tc>
        <w:tc>
          <w:tcPr>
            <w:tcW w:w="850" w:type="dxa"/>
            <w:vAlign w:val="center"/>
          </w:tcPr>
          <w:p w:rsidR="004E737B" w:rsidRPr="002F2FEE" w:rsidRDefault="004E737B" w:rsidP="002F2FEE">
            <w:pPr>
              <w:spacing w:before="0"/>
              <w:jc w:val="center"/>
              <w:rPr>
                <w:rFonts w:cstheme="minorHAnsi"/>
                <w:color w:val="1F497D" w:themeColor="text2"/>
                <w:sz w:val="18"/>
                <w:szCs w:val="18"/>
                <w:lang w:val="fr-FR"/>
              </w:rPr>
            </w:pPr>
          </w:p>
        </w:tc>
        <w:tc>
          <w:tcPr>
            <w:tcW w:w="1134" w:type="dxa"/>
            <w:vAlign w:val="center"/>
          </w:tcPr>
          <w:p w:rsidR="004E737B" w:rsidRPr="002F2FEE" w:rsidRDefault="004E737B" w:rsidP="002F2FEE">
            <w:pPr>
              <w:spacing w:before="0"/>
              <w:jc w:val="center"/>
              <w:rPr>
                <w:rFonts w:cstheme="minorHAnsi"/>
                <w:sz w:val="18"/>
                <w:szCs w:val="18"/>
                <w:lang w:val="fr-FR"/>
              </w:rPr>
            </w:pPr>
          </w:p>
        </w:tc>
        <w:tc>
          <w:tcPr>
            <w:tcW w:w="993" w:type="dxa"/>
            <w:vAlign w:val="center"/>
          </w:tcPr>
          <w:p w:rsidR="004E737B" w:rsidRPr="002F2FEE" w:rsidRDefault="004E737B" w:rsidP="002F2FEE">
            <w:pPr>
              <w:spacing w:before="0"/>
              <w:jc w:val="center"/>
              <w:rPr>
                <w:rFonts w:cstheme="minorHAnsi"/>
                <w:color w:val="31849B" w:themeColor="accent5" w:themeShade="BF"/>
                <w:sz w:val="18"/>
                <w:szCs w:val="18"/>
                <w:lang w:val="fr-FR"/>
              </w:rPr>
            </w:pPr>
            <w:r w:rsidRPr="002F2FEE">
              <w:rPr>
                <w:rFonts w:cstheme="minorHAnsi"/>
                <w:color w:val="31849B" w:themeColor="accent5" w:themeShade="BF"/>
                <w:sz w:val="18"/>
                <w:szCs w:val="18"/>
                <w:lang w:val="fr-FR"/>
              </w:rPr>
              <w:t>44,4</w:t>
            </w:r>
            <w:r w:rsidR="00862FFF">
              <w:rPr>
                <w:rFonts w:cstheme="minorHAnsi"/>
                <w:color w:val="31849B" w:themeColor="accent5" w:themeShade="BF"/>
                <w:sz w:val="18"/>
                <w:szCs w:val="18"/>
                <w:lang w:val="fr-FR"/>
              </w:rPr>
              <w:t xml:space="preserve"> </w:t>
            </w:r>
            <w:r w:rsidRPr="002F2FEE">
              <w:rPr>
                <w:rFonts w:cstheme="minorHAnsi"/>
                <w:color w:val="31849B" w:themeColor="accent5" w:themeShade="BF"/>
                <w:sz w:val="18"/>
                <w:szCs w:val="18"/>
                <w:lang w:val="fr-FR"/>
              </w:rPr>
              <w:t>%</w:t>
            </w:r>
          </w:p>
        </w:tc>
        <w:tc>
          <w:tcPr>
            <w:tcW w:w="992" w:type="dxa"/>
            <w:vAlign w:val="center"/>
          </w:tcPr>
          <w:p w:rsidR="004E737B" w:rsidRPr="002F2FEE" w:rsidRDefault="004E737B" w:rsidP="002F2FEE">
            <w:pPr>
              <w:spacing w:before="0"/>
              <w:jc w:val="center"/>
              <w:rPr>
                <w:rFonts w:cstheme="minorHAnsi"/>
                <w:color w:val="1F497D" w:themeColor="text2"/>
                <w:sz w:val="18"/>
                <w:szCs w:val="18"/>
                <w:lang w:val="fr-FR"/>
              </w:rPr>
            </w:pPr>
          </w:p>
        </w:tc>
        <w:tc>
          <w:tcPr>
            <w:tcW w:w="992" w:type="dxa"/>
            <w:vAlign w:val="center"/>
          </w:tcPr>
          <w:p w:rsidR="004E737B" w:rsidRPr="002F2FEE" w:rsidRDefault="004E737B" w:rsidP="002F2FEE">
            <w:pPr>
              <w:spacing w:before="0"/>
              <w:jc w:val="center"/>
              <w:rPr>
                <w:rFonts w:cstheme="minorHAnsi"/>
                <w:color w:val="1F497D" w:themeColor="text2"/>
                <w:sz w:val="18"/>
                <w:szCs w:val="18"/>
                <w:lang w:val="fr-FR"/>
              </w:rPr>
            </w:pPr>
          </w:p>
        </w:tc>
      </w:tr>
      <w:tr w:rsidR="002F2FEE" w:rsidRPr="004E737B" w:rsidTr="00997012">
        <w:trPr>
          <w:jc w:val="center"/>
        </w:trPr>
        <w:tc>
          <w:tcPr>
            <w:tcW w:w="851" w:type="dxa"/>
            <w:vAlign w:val="center"/>
          </w:tcPr>
          <w:p w:rsidR="00624475" w:rsidRPr="002F2FEE" w:rsidRDefault="00624475" w:rsidP="002F2FEE">
            <w:pPr>
              <w:spacing w:before="0"/>
              <w:rPr>
                <w:rFonts w:cstheme="minorHAnsi"/>
                <w:sz w:val="18"/>
                <w:szCs w:val="18"/>
                <w:lang w:val="fr-FR"/>
              </w:rPr>
            </w:pPr>
            <w:r w:rsidRPr="002F2FEE">
              <w:rPr>
                <w:rFonts w:cstheme="minorHAnsi"/>
                <w:sz w:val="18"/>
                <w:szCs w:val="18"/>
                <w:lang w:val="fr-FR"/>
              </w:rPr>
              <w:t>2004</w:t>
            </w:r>
          </w:p>
        </w:tc>
        <w:tc>
          <w:tcPr>
            <w:tcW w:w="1134" w:type="dxa"/>
            <w:vAlign w:val="center"/>
          </w:tcPr>
          <w:p w:rsidR="00624475" w:rsidRPr="002F2FEE" w:rsidRDefault="00624475" w:rsidP="002F2FEE">
            <w:pPr>
              <w:spacing w:before="0"/>
              <w:jc w:val="center"/>
              <w:rPr>
                <w:rFonts w:cstheme="minorHAnsi"/>
                <w:color w:val="1F497D" w:themeColor="text2"/>
                <w:sz w:val="18"/>
                <w:szCs w:val="18"/>
                <w:lang w:val="fr-FR"/>
              </w:rPr>
            </w:pPr>
            <w:r w:rsidRPr="002F2FEE">
              <w:rPr>
                <w:rFonts w:cstheme="minorHAnsi"/>
                <w:color w:val="1F497D" w:themeColor="text2"/>
                <w:sz w:val="18"/>
                <w:szCs w:val="18"/>
                <w:lang w:val="fr-FR"/>
              </w:rPr>
              <w:t>98,2</w:t>
            </w:r>
            <w:r w:rsidR="00862FFF">
              <w:rPr>
                <w:rFonts w:cstheme="minorHAnsi"/>
                <w:color w:val="1F497D" w:themeColor="text2"/>
                <w:sz w:val="18"/>
                <w:szCs w:val="18"/>
                <w:lang w:val="fr-FR"/>
              </w:rPr>
              <w:t xml:space="preserve"> </w:t>
            </w:r>
            <w:r w:rsidRPr="002F2FEE">
              <w:rPr>
                <w:rFonts w:cstheme="minorHAnsi"/>
                <w:color w:val="1F497D" w:themeColor="text2"/>
                <w:sz w:val="18"/>
                <w:szCs w:val="18"/>
                <w:lang w:val="fr-FR"/>
              </w:rPr>
              <w:t>%</w:t>
            </w: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851" w:type="dxa"/>
            <w:vAlign w:val="center"/>
          </w:tcPr>
          <w:p w:rsidR="00624475" w:rsidRPr="002F2FEE" w:rsidRDefault="00624475" w:rsidP="002F2FEE">
            <w:pPr>
              <w:spacing w:before="0"/>
              <w:jc w:val="center"/>
              <w:rPr>
                <w:rFonts w:cstheme="minorHAnsi"/>
                <w:color w:val="1F497D" w:themeColor="text2"/>
                <w:sz w:val="18"/>
                <w:szCs w:val="18"/>
                <w:lang w:val="fr-FR"/>
              </w:rPr>
            </w:pPr>
            <w:r w:rsidRPr="002F2FEE">
              <w:rPr>
                <w:rFonts w:cstheme="minorHAnsi"/>
                <w:color w:val="1F497D" w:themeColor="text2"/>
                <w:sz w:val="18"/>
                <w:szCs w:val="18"/>
                <w:lang w:val="fr-FR"/>
              </w:rPr>
              <w:t>90,6</w:t>
            </w:r>
            <w:r w:rsidR="00862FFF">
              <w:rPr>
                <w:rFonts w:cstheme="minorHAnsi"/>
                <w:color w:val="1F497D" w:themeColor="text2"/>
                <w:sz w:val="18"/>
                <w:szCs w:val="18"/>
                <w:lang w:val="fr-FR"/>
              </w:rPr>
              <w:t xml:space="preserve"> </w:t>
            </w:r>
            <w:r w:rsidRPr="002F2FEE">
              <w:rPr>
                <w:rFonts w:cstheme="minorHAnsi"/>
                <w:color w:val="1F497D" w:themeColor="text2"/>
                <w:sz w:val="18"/>
                <w:szCs w:val="18"/>
                <w:lang w:val="fr-FR"/>
              </w:rPr>
              <w:t>%</w:t>
            </w:r>
          </w:p>
        </w:tc>
        <w:tc>
          <w:tcPr>
            <w:tcW w:w="850" w:type="dxa"/>
            <w:vAlign w:val="center"/>
          </w:tcPr>
          <w:p w:rsidR="00624475" w:rsidRPr="002F2FEE" w:rsidRDefault="004E737B" w:rsidP="002F2FEE">
            <w:pPr>
              <w:spacing w:before="0"/>
              <w:jc w:val="center"/>
              <w:rPr>
                <w:rFonts w:cstheme="minorHAnsi"/>
                <w:color w:val="1F497D" w:themeColor="text2"/>
                <w:sz w:val="18"/>
                <w:szCs w:val="18"/>
                <w:lang w:val="fr-FR"/>
              </w:rPr>
            </w:pPr>
            <w:r w:rsidRPr="002F2FEE">
              <w:rPr>
                <w:rFonts w:cstheme="minorHAnsi"/>
                <w:color w:val="1F497D" w:themeColor="text2"/>
                <w:sz w:val="18"/>
                <w:szCs w:val="18"/>
                <w:lang w:val="fr-FR"/>
              </w:rPr>
              <w:t>98,6 %</w:t>
            </w: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993" w:type="dxa"/>
            <w:vAlign w:val="center"/>
          </w:tcPr>
          <w:p w:rsidR="00624475" w:rsidRPr="002F2FEE" w:rsidRDefault="00624475" w:rsidP="002F2FEE">
            <w:pPr>
              <w:spacing w:before="0"/>
              <w:jc w:val="center"/>
              <w:rPr>
                <w:rFonts w:cstheme="minorHAnsi"/>
                <w:sz w:val="18"/>
                <w:szCs w:val="18"/>
                <w:lang w:val="fr-FR"/>
              </w:rPr>
            </w:pPr>
          </w:p>
        </w:tc>
        <w:tc>
          <w:tcPr>
            <w:tcW w:w="992" w:type="dxa"/>
            <w:vAlign w:val="center"/>
          </w:tcPr>
          <w:p w:rsidR="00624475" w:rsidRPr="002F2FEE" w:rsidRDefault="00624475" w:rsidP="002F2FEE">
            <w:pPr>
              <w:spacing w:before="0"/>
              <w:jc w:val="center"/>
              <w:rPr>
                <w:rFonts w:cstheme="minorHAnsi"/>
                <w:color w:val="1F497D" w:themeColor="text2"/>
                <w:sz w:val="18"/>
                <w:szCs w:val="18"/>
                <w:lang w:val="fr-FR"/>
              </w:rPr>
            </w:pPr>
            <w:r w:rsidRPr="002F2FEE">
              <w:rPr>
                <w:rFonts w:cstheme="minorHAnsi"/>
                <w:color w:val="1F497D" w:themeColor="text2"/>
                <w:sz w:val="18"/>
                <w:szCs w:val="18"/>
                <w:lang w:val="fr-FR"/>
              </w:rPr>
              <w:t>83</w:t>
            </w:r>
            <w:r w:rsidR="00862FFF">
              <w:rPr>
                <w:rFonts w:cstheme="minorHAnsi"/>
                <w:color w:val="1F497D" w:themeColor="text2"/>
                <w:sz w:val="18"/>
                <w:szCs w:val="18"/>
                <w:lang w:val="fr-FR"/>
              </w:rPr>
              <w:t xml:space="preserve"> </w:t>
            </w:r>
            <w:r w:rsidRPr="002F2FEE">
              <w:rPr>
                <w:rFonts w:cstheme="minorHAnsi"/>
                <w:color w:val="1F497D" w:themeColor="text2"/>
                <w:sz w:val="18"/>
                <w:szCs w:val="18"/>
                <w:lang w:val="fr-FR"/>
              </w:rPr>
              <w:t>%</w:t>
            </w:r>
          </w:p>
        </w:tc>
        <w:tc>
          <w:tcPr>
            <w:tcW w:w="992" w:type="dxa"/>
            <w:vAlign w:val="center"/>
          </w:tcPr>
          <w:p w:rsidR="00624475" w:rsidRPr="002F2FEE" w:rsidRDefault="00624475" w:rsidP="002F2FEE">
            <w:pPr>
              <w:spacing w:before="0"/>
              <w:jc w:val="center"/>
              <w:rPr>
                <w:rFonts w:cstheme="minorHAnsi"/>
                <w:color w:val="1F497D" w:themeColor="text2"/>
                <w:sz w:val="18"/>
                <w:szCs w:val="18"/>
                <w:lang w:val="fr-FR"/>
              </w:rPr>
            </w:pPr>
            <w:r w:rsidRPr="002F2FEE">
              <w:rPr>
                <w:rFonts w:cstheme="minorHAnsi"/>
                <w:color w:val="1F497D" w:themeColor="text2"/>
                <w:sz w:val="18"/>
                <w:szCs w:val="18"/>
                <w:lang w:val="fr-FR"/>
              </w:rPr>
              <w:t>95,5</w:t>
            </w:r>
            <w:r w:rsidR="00862FFF">
              <w:rPr>
                <w:rFonts w:cstheme="minorHAnsi"/>
                <w:color w:val="1F497D" w:themeColor="text2"/>
                <w:sz w:val="18"/>
                <w:szCs w:val="18"/>
                <w:lang w:val="fr-FR"/>
              </w:rPr>
              <w:t xml:space="preserve"> </w:t>
            </w:r>
            <w:r w:rsidRPr="002F2FEE">
              <w:rPr>
                <w:rFonts w:cstheme="minorHAnsi"/>
                <w:color w:val="1F497D" w:themeColor="text2"/>
                <w:sz w:val="18"/>
                <w:szCs w:val="18"/>
                <w:lang w:val="fr-FR"/>
              </w:rPr>
              <w:t>%</w:t>
            </w:r>
          </w:p>
        </w:tc>
      </w:tr>
      <w:tr w:rsidR="002F2FEE" w:rsidRPr="004E737B" w:rsidTr="00997012">
        <w:trPr>
          <w:jc w:val="center"/>
        </w:trPr>
        <w:tc>
          <w:tcPr>
            <w:tcW w:w="851" w:type="dxa"/>
            <w:vAlign w:val="center"/>
          </w:tcPr>
          <w:p w:rsidR="00EF4F7B" w:rsidRPr="002F2FEE" w:rsidRDefault="00EF4F7B" w:rsidP="002F2FEE">
            <w:pPr>
              <w:spacing w:before="0"/>
              <w:rPr>
                <w:rFonts w:cstheme="minorHAnsi"/>
                <w:sz w:val="18"/>
                <w:szCs w:val="18"/>
                <w:lang w:val="fr-FR"/>
              </w:rPr>
            </w:pPr>
            <w:r w:rsidRPr="002F2FEE">
              <w:rPr>
                <w:rFonts w:cstheme="minorHAnsi"/>
                <w:sz w:val="18"/>
                <w:szCs w:val="18"/>
                <w:lang w:val="fr-FR"/>
              </w:rPr>
              <w:t>2006</w:t>
            </w:r>
          </w:p>
        </w:tc>
        <w:tc>
          <w:tcPr>
            <w:tcW w:w="1134" w:type="dxa"/>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98,2</w:t>
            </w:r>
            <w:r w:rsidR="00862FFF">
              <w:rPr>
                <w:rFonts w:cstheme="minorHAnsi"/>
                <w:sz w:val="18"/>
                <w:szCs w:val="18"/>
                <w:lang w:val="fr-FR"/>
              </w:rPr>
              <w:t xml:space="preserve"> </w:t>
            </w:r>
            <w:r w:rsidRPr="002F2FEE">
              <w:rPr>
                <w:rFonts w:cstheme="minorHAnsi"/>
                <w:sz w:val="18"/>
                <w:szCs w:val="18"/>
                <w:lang w:val="fr-FR"/>
              </w:rPr>
              <w:t>%</w:t>
            </w:r>
          </w:p>
        </w:tc>
        <w:tc>
          <w:tcPr>
            <w:tcW w:w="1134" w:type="dxa"/>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98,7</w:t>
            </w:r>
            <w:r w:rsidR="00862FFF">
              <w:rPr>
                <w:rFonts w:cstheme="minorHAnsi"/>
                <w:sz w:val="18"/>
                <w:szCs w:val="18"/>
                <w:lang w:val="fr-FR"/>
              </w:rPr>
              <w:t xml:space="preserve"> </w:t>
            </w:r>
            <w:r w:rsidRPr="002F2FEE">
              <w:rPr>
                <w:rFonts w:cstheme="minorHAnsi"/>
                <w:sz w:val="18"/>
                <w:szCs w:val="18"/>
                <w:lang w:val="fr-FR"/>
              </w:rPr>
              <w:t>%</w:t>
            </w:r>
          </w:p>
        </w:tc>
        <w:tc>
          <w:tcPr>
            <w:tcW w:w="851" w:type="dxa"/>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90,6</w:t>
            </w:r>
            <w:r w:rsidR="00862FFF">
              <w:rPr>
                <w:rFonts w:cstheme="minorHAnsi"/>
                <w:sz w:val="18"/>
                <w:szCs w:val="18"/>
                <w:lang w:val="fr-FR"/>
              </w:rPr>
              <w:t xml:space="preserve"> </w:t>
            </w:r>
            <w:r w:rsidRPr="002F2FEE">
              <w:rPr>
                <w:rFonts w:cstheme="minorHAnsi"/>
                <w:sz w:val="18"/>
                <w:szCs w:val="18"/>
                <w:lang w:val="fr-FR"/>
              </w:rPr>
              <w:t>%</w:t>
            </w:r>
          </w:p>
        </w:tc>
        <w:tc>
          <w:tcPr>
            <w:tcW w:w="850" w:type="dxa"/>
            <w:vAlign w:val="center"/>
          </w:tcPr>
          <w:p w:rsidR="00EF4F7B" w:rsidRPr="002F2FEE" w:rsidRDefault="00EF4F7B" w:rsidP="002F2FEE">
            <w:pPr>
              <w:spacing w:before="0"/>
              <w:jc w:val="center"/>
              <w:rPr>
                <w:rFonts w:cstheme="minorHAnsi"/>
                <w:color w:val="4F81BD" w:themeColor="accent1"/>
                <w:sz w:val="18"/>
                <w:szCs w:val="18"/>
                <w:lang w:val="fr-FR"/>
              </w:rPr>
            </w:pPr>
            <w:r w:rsidRPr="002F2FEE">
              <w:rPr>
                <w:rFonts w:cstheme="minorHAnsi"/>
                <w:color w:val="4F81BD" w:themeColor="accent1"/>
                <w:sz w:val="18"/>
                <w:szCs w:val="18"/>
                <w:lang w:val="fr-FR"/>
              </w:rPr>
              <w:t>98,5</w:t>
            </w:r>
            <w:r w:rsidR="00862FFF">
              <w:rPr>
                <w:rFonts w:cstheme="minorHAnsi"/>
                <w:color w:val="4F81BD" w:themeColor="accent1"/>
                <w:sz w:val="18"/>
                <w:szCs w:val="18"/>
                <w:lang w:val="fr-FR"/>
              </w:rPr>
              <w:t xml:space="preserve"> </w:t>
            </w:r>
            <w:r w:rsidRPr="002F2FEE">
              <w:rPr>
                <w:rFonts w:cstheme="minorHAnsi"/>
                <w:color w:val="4F81BD" w:themeColor="accent1"/>
                <w:sz w:val="18"/>
                <w:szCs w:val="18"/>
                <w:lang w:val="fr-FR"/>
              </w:rPr>
              <w:t>%</w:t>
            </w:r>
          </w:p>
        </w:tc>
        <w:tc>
          <w:tcPr>
            <w:tcW w:w="1134" w:type="dxa"/>
            <w:vAlign w:val="center"/>
          </w:tcPr>
          <w:p w:rsidR="00EF4F7B" w:rsidRPr="002F2FEE" w:rsidRDefault="00EF4F7B" w:rsidP="002F2FEE">
            <w:pPr>
              <w:spacing w:before="0"/>
              <w:jc w:val="center"/>
              <w:rPr>
                <w:rFonts w:cstheme="minorHAnsi"/>
                <w:sz w:val="18"/>
                <w:szCs w:val="18"/>
                <w:lang w:val="fr-FR"/>
              </w:rPr>
            </w:pPr>
            <w:r w:rsidRPr="002F2FEE">
              <w:rPr>
                <w:rFonts w:cstheme="minorHAnsi"/>
                <w:sz w:val="18"/>
                <w:szCs w:val="18"/>
                <w:lang w:val="fr-FR"/>
              </w:rPr>
              <w:t>97,5</w:t>
            </w:r>
            <w:r w:rsidR="00862FFF">
              <w:rPr>
                <w:rFonts w:cstheme="minorHAnsi"/>
                <w:sz w:val="18"/>
                <w:szCs w:val="18"/>
                <w:lang w:val="fr-FR"/>
              </w:rPr>
              <w:t xml:space="preserve"> </w:t>
            </w:r>
            <w:r w:rsidRPr="002F2FEE">
              <w:rPr>
                <w:rFonts w:cstheme="minorHAnsi"/>
                <w:sz w:val="18"/>
                <w:szCs w:val="18"/>
                <w:lang w:val="fr-FR"/>
              </w:rPr>
              <w:t>%</w:t>
            </w:r>
          </w:p>
        </w:tc>
        <w:tc>
          <w:tcPr>
            <w:tcW w:w="993" w:type="dxa"/>
            <w:vAlign w:val="center"/>
          </w:tcPr>
          <w:p w:rsidR="00EF4F7B" w:rsidRPr="002F2FEE" w:rsidRDefault="00EF4F7B" w:rsidP="002F2FEE">
            <w:pPr>
              <w:spacing w:before="0"/>
              <w:jc w:val="center"/>
              <w:rPr>
                <w:rFonts w:cstheme="minorHAnsi"/>
                <w:sz w:val="18"/>
                <w:szCs w:val="18"/>
                <w:lang w:val="fr-FR"/>
              </w:rPr>
            </w:pPr>
          </w:p>
        </w:tc>
        <w:tc>
          <w:tcPr>
            <w:tcW w:w="992" w:type="dxa"/>
            <w:vAlign w:val="center"/>
          </w:tcPr>
          <w:p w:rsidR="00EF4F7B" w:rsidRPr="002F2FEE" w:rsidRDefault="00EF4F7B" w:rsidP="002F2FEE">
            <w:pPr>
              <w:spacing w:before="0"/>
              <w:jc w:val="center"/>
              <w:rPr>
                <w:rFonts w:cstheme="minorHAnsi"/>
                <w:sz w:val="18"/>
                <w:szCs w:val="18"/>
                <w:lang w:val="fr-FR"/>
              </w:rPr>
            </w:pPr>
          </w:p>
        </w:tc>
        <w:tc>
          <w:tcPr>
            <w:tcW w:w="992" w:type="dxa"/>
            <w:vAlign w:val="center"/>
          </w:tcPr>
          <w:p w:rsidR="00EF4F7B" w:rsidRPr="002F2FEE" w:rsidRDefault="00EF4F7B" w:rsidP="002F2FEE">
            <w:pPr>
              <w:spacing w:before="0"/>
              <w:jc w:val="center"/>
              <w:rPr>
                <w:rFonts w:cstheme="minorHAnsi"/>
                <w:sz w:val="18"/>
                <w:szCs w:val="18"/>
                <w:lang w:val="fr-FR"/>
              </w:rPr>
            </w:pPr>
          </w:p>
        </w:tc>
      </w:tr>
      <w:tr w:rsidR="002F2FEE" w:rsidRPr="004E737B" w:rsidTr="00997012">
        <w:trPr>
          <w:jc w:val="center"/>
        </w:trPr>
        <w:tc>
          <w:tcPr>
            <w:tcW w:w="851" w:type="dxa"/>
            <w:vAlign w:val="center"/>
          </w:tcPr>
          <w:p w:rsidR="00EF4F7B" w:rsidRPr="002F2FEE" w:rsidRDefault="004E737B" w:rsidP="002F2FEE">
            <w:pPr>
              <w:spacing w:before="0"/>
              <w:rPr>
                <w:rFonts w:cstheme="minorHAnsi"/>
                <w:sz w:val="18"/>
                <w:szCs w:val="18"/>
                <w:lang w:val="fr-FR"/>
              </w:rPr>
            </w:pPr>
            <w:r w:rsidRPr="002F2FEE">
              <w:rPr>
                <w:rFonts w:cstheme="minorHAnsi"/>
                <w:sz w:val="18"/>
                <w:szCs w:val="18"/>
                <w:lang w:val="fr-FR"/>
              </w:rPr>
              <w:t>2007</w:t>
            </w:r>
          </w:p>
        </w:tc>
        <w:tc>
          <w:tcPr>
            <w:tcW w:w="1134" w:type="dxa"/>
            <w:vAlign w:val="center"/>
          </w:tcPr>
          <w:p w:rsidR="00EF4F7B" w:rsidRPr="002F2FEE" w:rsidRDefault="00EF4F7B" w:rsidP="002F2FEE">
            <w:pPr>
              <w:spacing w:before="0"/>
              <w:jc w:val="center"/>
              <w:rPr>
                <w:rFonts w:cstheme="minorHAnsi"/>
                <w:sz w:val="18"/>
                <w:szCs w:val="18"/>
                <w:lang w:val="fr-FR"/>
              </w:rPr>
            </w:pPr>
          </w:p>
        </w:tc>
        <w:tc>
          <w:tcPr>
            <w:tcW w:w="1134" w:type="dxa"/>
            <w:vAlign w:val="center"/>
          </w:tcPr>
          <w:p w:rsidR="00EF4F7B" w:rsidRPr="002F2FEE" w:rsidRDefault="00EF4F7B" w:rsidP="002F2FEE">
            <w:pPr>
              <w:spacing w:before="0"/>
              <w:jc w:val="center"/>
              <w:rPr>
                <w:rFonts w:cstheme="minorHAnsi"/>
                <w:sz w:val="18"/>
                <w:szCs w:val="18"/>
                <w:lang w:val="fr-FR"/>
              </w:rPr>
            </w:pPr>
          </w:p>
        </w:tc>
        <w:tc>
          <w:tcPr>
            <w:tcW w:w="851" w:type="dxa"/>
            <w:vAlign w:val="center"/>
          </w:tcPr>
          <w:p w:rsidR="00EF4F7B" w:rsidRPr="002F2FEE" w:rsidRDefault="00EF4F7B" w:rsidP="002F2FEE">
            <w:pPr>
              <w:spacing w:before="0"/>
              <w:jc w:val="center"/>
              <w:rPr>
                <w:rFonts w:cstheme="minorHAnsi"/>
                <w:sz w:val="18"/>
                <w:szCs w:val="18"/>
                <w:lang w:val="fr-FR"/>
              </w:rPr>
            </w:pPr>
          </w:p>
        </w:tc>
        <w:tc>
          <w:tcPr>
            <w:tcW w:w="850" w:type="dxa"/>
            <w:vAlign w:val="center"/>
          </w:tcPr>
          <w:p w:rsidR="00EF4F7B" w:rsidRPr="002F2FEE" w:rsidRDefault="00EF4F7B" w:rsidP="002F2FEE">
            <w:pPr>
              <w:spacing w:before="0"/>
              <w:jc w:val="center"/>
              <w:rPr>
                <w:rFonts w:cstheme="minorHAnsi"/>
                <w:sz w:val="18"/>
                <w:szCs w:val="18"/>
                <w:lang w:val="fr-FR"/>
              </w:rPr>
            </w:pPr>
          </w:p>
        </w:tc>
        <w:tc>
          <w:tcPr>
            <w:tcW w:w="1134" w:type="dxa"/>
            <w:vAlign w:val="center"/>
          </w:tcPr>
          <w:p w:rsidR="00EF4F7B" w:rsidRPr="002F2FEE" w:rsidRDefault="00EF4F7B" w:rsidP="002F2FEE">
            <w:pPr>
              <w:spacing w:before="0"/>
              <w:jc w:val="center"/>
              <w:rPr>
                <w:rFonts w:cstheme="minorHAnsi"/>
                <w:sz w:val="18"/>
                <w:szCs w:val="18"/>
                <w:lang w:val="fr-FR"/>
              </w:rPr>
            </w:pPr>
          </w:p>
        </w:tc>
        <w:tc>
          <w:tcPr>
            <w:tcW w:w="993" w:type="dxa"/>
            <w:vAlign w:val="center"/>
          </w:tcPr>
          <w:p w:rsidR="00EF4F7B" w:rsidRPr="002F2FEE" w:rsidRDefault="004E737B" w:rsidP="002F2FEE">
            <w:pPr>
              <w:spacing w:before="0"/>
              <w:jc w:val="center"/>
              <w:rPr>
                <w:rFonts w:cstheme="minorHAnsi"/>
                <w:color w:val="31849B" w:themeColor="accent5" w:themeShade="BF"/>
                <w:sz w:val="18"/>
                <w:szCs w:val="18"/>
                <w:lang w:val="fr-FR"/>
              </w:rPr>
            </w:pPr>
            <w:r w:rsidRPr="002F2FEE">
              <w:rPr>
                <w:rFonts w:cstheme="minorHAnsi"/>
                <w:color w:val="31849B" w:themeColor="accent5" w:themeShade="BF"/>
                <w:sz w:val="18"/>
                <w:szCs w:val="18"/>
                <w:lang w:val="fr-FR"/>
              </w:rPr>
              <w:t>56,4</w:t>
            </w:r>
            <w:r w:rsidR="00862FFF">
              <w:rPr>
                <w:rFonts w:cstheme="minorHAnsi"/>
                <w:color w:val="31849B" w:themeColor="accent5" w:themeShade="BF"/>
                <w:sz w:val="18"/>
                <w:szCs w:val="18"/>
                <w:lang w:val="fr-FR"/>
              </w:rPr>
              <w:t xml:space="preserve"> </w:t>
            </w:r>
            <w:r w:rsidRPr="002F2FEE">
              <w:rPr>
                <w:rFonts w:cstheme="minorHAnsi"/>
                <w:color w:val="31849B" w:themeColor="accent5" w:themeShade="BF"/>
                <w:sz w:val="18"/>
                <w:szCs w:val="18"/>
                <w:lang w:val="fr-FR"/>
              </w:rPr>
              <w:t>%</w:t>
            </w:r>
          </w:p>
        </w:tc>
        <w:tc>
          <w:tcPr>
            <w:tcW w:w="992" w:type="dxa"/>
            <w:vAlign w:val="center"/>
          </w:tcPr>
          <w:p w:rsidR="00EF4F7B" w:rsidRPr="002F2FEE" w:rsidRDefault="00EF4F7B" w:rsidP="002F2FEE">
            <w:pPr>
              <w:spacing w:before="0"/>
              <w:jc w:val="center"/>
              <w:rPr>
                <w:rFonts w:cstheme="minorHAnsi"/>
                <w:sz w:val="18"/>
                <w:szCs w:val="18"/>
                <w:lang w:val="fr-FR"/>
              </w:rPr>
            </w:pPr>
          </w:p>
        </w:tc>
        <w:tc>
          <w:tcPr>
            <w:tcW w:w="992" w:type="dxa"/>
            <w:vAlign w:val="center"/>
          </w:tcPr>
          <w:p w:rsidR="00EF4F7B" w:rsidRPr="002F2FEE" w:rsidRDefault="00EF4F7B" w:rsidP="002F2FEE">
            <w:pPr>
              <w:spacing w:before="0"/>
              <w:jc w:val="center"/>
              <w:rPr>
                <w:rFonts w:cstheme="minorHAnsi"/>
                <w:sz w:val="18"/>
                <w:szCs w:val="18"/>
                <w:lang w:val="fr-FR"/>
              </w:rPr>
            </w:pPr>
          </w:p>
        </w:tc>
      </w:tr>
      <w:tr w:rsidR="002F2FEE" w:rsidTr="00997012">
        <w:trPr>
          <w:trHeight w:val="557"/>
          <w:jc w:val="center"/>
        </w:trPr>
        <w:tc>
          <w:tcPr>
            <w:tcW w:w="851" w:type="dxa"/>
            <w:shd w:val="clear" w:color="auto" w:fill="C6D9F1" w:themeFill="text2" w:themeFillTint="33"/>
            <w:vAlign w:val="center"/>
          </w:tcPr>
          <w:p w:rsidR="00624475" w:rsidRPr="002F2FEE" w:rsidRDefault="00624475" w:rsidP="002F2FEE">
            <w:pPr>
              <w:spacing w:before="0"/>
              <w:rPr>
                <w:rFonts w:cstheme="minorHAnsi"/>
                <w:b/>
                <w:sz w:val="18"/>
                <w:szCs w:val="18"/>
                <w:lang w:val="fr-FR"/>
              </w:rPr>
            </w:pPr>
            <w:r w:rsidRPr="002F2FEE">
              <w:rPr>
                <w:rFonts w:cstheme="minorHAnsi"/>
                <w:b/>
                <w:sz w:val="18"/>
                <w:szCs w:val="18"/>
                <w:lang w:val="fr-FR"/>
              </w:rPr>
              <w:t>Congéla</w:t>
            </w:r>
            <w:r w:rsidR="002F2FEE">
              <w:rPr>
                <w:rFonts w:cstheme="minorHAnsi"/>
                <w:b/>
                <w:sz w:val="18"/>
                <w:szCs w:val="18"/>
                <w:lang w:val="fr-FR"/>
              </w:rPr>
              <w:t>-</w:t>
            </w:r>
            <w:r w:rsidRPr="002F2FEE">
              <w:rPr>
                <w:rFonts w:cstheme="minorHAnsi"/>
                <w:b/>
                <w:sz w:val="18"/>
                <w:szCs w:val="18"/>
                <w:lang w:val="fr-FR"/>
              </w:rPr>
              <w:t>teurs</w:t>
            </w:r>
          </w:p>
        </w:tc>
        <w:tc>
          <w:tcPr>
            <w:tcW w:w="1134" w:type="dxa"/>
            <w:shd w:val="clear" w:color="auto" w:fill="C6D9F1" w:themeFill="text2" w:themeFillTint="33"/>
            <w:vAlign w:val="center"/>
          </w:tcPr>
          <w:p w:rsidR="00624475" w:rsidRPr="002F2FEE" w:rsidRDefault="00624475" w:rsidP="002F2FEE">
            <w:pPr>
              <w:spacing w:before="0"/>
              <w:jc w:val="center"/>
              <w:rPr>
                <w:rFonts w:cstheme="minorHAnsi"/>
                <w:sz w:val="18"/>
                <w:szCs w:val="18"/>
                <w:lang w:val="fr-FR"/>
              </w:rPr>
            </w:pPr>
            <w:r w:rsidRPr="002F2FEE">
              <w:rPr>
                <w:rFonts w:cstheme="minorHAnsi"/>
                <w:sz w:val="18"/>
                <w:szCs w:val="18"/>
                <w:lang w:val="fr-FR"/>
              </w:rPr>
              <w:t>Martinique</w:t>
            </w:r>
          </w:p>
        </w:tc>
        <w:tc>
          <w:tcPr>
            <w:tcW w:w="1134" w:type="dxa"/>
            <w:shd w:val="clear" w:color="auto" w:fill="C6D9F1" w:themeFill="text2" w:themeFillTint="33"/>
            <w:vAlign w:val="center"/>
          </w:tcPr>
          <w:p w:rsidR="00624475" w:rsidRPr="002F2FEE" w:rsidRDefault="00624475" w:rsidP="002F2FEE">
            <w:pPr>
              <w:spacing w:before="0"/>
              <w:jc w:val="center"/>
              <w:rPr>
                <w:rFonts w:cstheme="minorHAnsi"/>
                <w:sz w:val="18"/>
                <w:szCs w:val="18"/>
                <w:lang w:val="fr-FR"/>
              </w:rPr>
            </w:pPr>
            <w:r w:rsidRPr="002F2FEE">
              <w:rPr>
                <w:rFonts w:cstheme="minorHAnsi"/>
                <w:sz w:val="18"/>
                <w:szCs w:val="18"/>
                <w:lang w:val="fr-FR"/>
              </w:rPr>
              <w:t>Guadeloupe</w:t>
            </w:r>
          </w:p>
        </w:tc>
        <w:tc>
          <w:tcPr>
            <w:tcW w:w="851" w:type="dxa"/>
            <w:shd w:val="clear" w:color="auto" w:fill="C6D9F1" w:themeFill="text2" w:themeFillTint="33"/>
            <w:vAlign w:val="center"/>
          </w:tcPr>
          <w:p w:rsidR="00624475" w:rsidRPr="002F2FEE" w:rsidRDefault="00624475" w:rsidP="002F2FEE">
            <w:pPr>
              <w:spacing w:before="0"/>
              <w:jc w:val="center"/>
              <w:rPr>
                <w:rFonts w:cstheme="minorHAnsi"/>
                <w:sz w:val="18"/>
                <w:szCs w:val="18"/>
                <w:lang w:val="fr-FR"/>
              </w:rPr>
            </w:pPr>
            <w:r w:rsidRPr="002F2FEE">
              <w:rPr>
                <w:rFonts w:cstheme="minorHAnsi"/>
                <w:sz w:val="18"/>
                <w:szCs w:val="18"/>
                <w:lang w:val="fr-FR"/>
              </w:rPr>
              <w:t>Guyane</w:t>
            </w:r>
          </w:p>
        </w:tc>
        <w:tc>
          <w:tcPr>
            <w:tcW w:w="850" w:type="dxa"/>
            <w:shd w:val="clear" w:color="auto" w:fill="C6D9F1" w:themeFill="text2" w:themeFillTint="33"/>
            <w:vAlign w:val="center"/>
          </w:tcPr>
          <w:p w:rsidR="00624475" w:rsidRPr="002F2FEE" w:rsidRDefault="00624475" w:rsidP="002F2FEE">
            <w:pPr>
              <w:spacing w:before="0"/>
              <w:jc w:val="center"/>
              <w:rPr>
                <w:rFonts w:cstheme="minorHAnsi"/>
                <w:sz w:val="18"/>
                <w:szCs w:val="18"/>
                <w:lang w:val="fr-FR"/>
              </w:rPr>
            </w:pPr>
            <w:r w:rsidRPr="002F2FEE">
              <w:rPr>
                <w:rFonts w:cstheme="minorHAnsi"/>
                <w:sz w:val="18"/>
                <w:szCs w:val="18"/>
                <w:lang w:val="fr-FR"/>
              </w:rPr>
              <w:t>Réunion</w:t>
            </w:r>
          </w:p>
        </w:tc>
        <w:tc>
          <w:tcPr>
            <w:tcW w:w="1134" w:type="dxa"/>
            <w:shd w:val="clear" w:color="auto" w:fill="C6D9F1" w:themeFill="text2" w:themeFillTint="33"/>
            <w:vAlign w:val="center"/>
          </w:tcPr>
          <w:p w:rsidR="00624475" w:rsidRPr="002F2FEE" w:rsidRDefault="00624475" w:rsidP="002F2FEE">
            <w:pPr>
              <w:spacing w:before="0"/>
              <w:jc w:val="center"/>
              <w:rPr>
                <w:rFonts w:cstheme="minorHAnsi"/>
                <w:sz w:val="18"/>
                <w:szCs w:val="18"/>
                <w:lang w:val="fr-FR"/>
              </w:rPr>
            </w:pPr>
            <w:r w:rsidRPr="002F2FEE">
              <w:rPr>
                <w:rFonts w:cstheme="minorHAnsi"/>
                <w:sz w:val="18"/>
                <w:szCs w:val="18"/>
                <w:lang w:val="fr-FR"/>
              </w:rPr>
              <w:t>St Pierre &amp; Miquelon</w:t>
            </w:r>
          </w:p>
        </w:tc>
        <w:tc>
          <w:tcPr>
            <w:tcW w:w="993" w:type="dxa"/>
            <w:shd w:val="clear" w:color="auto" w:fill="C6D9F1" w:themeFill="text2" w:themeFillTint="33"/>
            <w:vAlign w:val="center"/>
          </w:tcPr>
          <w:p w:rsidR="00624475" w:rsidRPr="002F2FEE" w:rsidRDefault="00624475" w:rsidP="002F2FEE">
            <w:pPr>
              <w:spacing w:before="0"/>
              <w:jc w:val="center"/>
              <w:rPr>
                <w:rFonts w:cstheme="minorHAnsi"/>
                <w:sz w:val="18"/>
                <w:szCs w:val="18"/>
                <w:lang w:val="fr-FR"/>
              </w:rPr>
            </w:pPr>
            <w:r w:rsidRPr="002F2FEE">
              <w:rPr>
                <w:rFonts w:cstheme="minorHAnsi"/>
                <w:sz w:val="18"/>
                <w:szCs w:val="18"/>
                <w:lang w:val="fr-FR"/>
              </w:rPr>
              <w:t>Mayotte</w:t>
            </w:r>
          </w:p>
        </w:tc>
        <w:tc>
          <w:tcPr>
            <w:tcW w:w="992" w:type="dxa"/>
            <w:shd w:val="clear" w:color="auto" w:fill="C6D9F1" w:themeFill="text2" w:themeFillTint="33"/>
            <w:vAlign w:val="center"/>
          </w:tcPr>
          <w:p w:rsidR="00624475" w:rsidRPr="002F2FEE" w:rsidRDefault="00624475" w:rsidP="002F2FEE">
            <w:pPr>
              <w:spacing w:before="0"/>
              <w:jc w:val="center"/>
              <w:rPr>
                <w:rFonts w:cstheme="minorHAnsi"/>
                <w:sz w:val="18"/>
                <w:szCs w:val="18"/>
                <w:lang w:val="fr-FR"/>
              </w:rPr>
            </w:pPr>
            <w:r w:rsidRPr="002F2FEE">
              <w:rPr>
                <w:rFonts w:cstheme="minorHAnsi"/>
                <w:sz w:val="18"/>
                <w:szCs w:val="18"/>
                <w:lang w:val="fr-FR"/>
              </w:rPr>
              <w:t>Nouvelle Calédonie</w:t>
            </w:r>
          </w:p>
        </w:tc>
        <w:tc>
          <w:tcPr>
            <w:tcW w:w="992" w:type="dxa"/>
            <w:shd w:val="clear" w:color="auto" w:fill="C6D9F1" w:themeFill="text2" w:themeFillTint="33"/>
            <w:vAlign w:val="center"/>
          </w:tcPr>
          <w:p w:rsidR="00624475" w:rsidRPr="002F2FEE" w:rsidRDefault="00624475" w:rsidP="002F2FEE">
            <w:pPr>
              <w:spacing w:before="0"/>
              <w:jc w:val="center"/>
              <w:rPr>
                <w:rFonts w:cstheme="minorHAnsi"/>
                <w:sz w:val="18"/>
                <w:szCs w:val="18"/>
                <w:lang w:val="fr-FR"/>
              </w:rPr>
            </w:pPr>
            <w:r w:rsidRPr="002F2FEE">
              <w:rPr>
                <w:rFonts w:cstheme="minorHAnsi"/>
                <w:sz w:val="18"/>
                <w:szCs w:val="18"/>
                <w:lang w:val="fr-FR"/>
              </w:rPr>
              <w:t>Polynésie Franç</w:t>
            </w:r>
            <w:r w:rsidR="00AE1334" w:rsidRPr="002F2FEE">
              <w:rPr>
                <w:rFonts w:cstheme="minorHAnsi"/>
                <w:sz w:val="18"/>
                <w:szCs w:val="18"/>
                <w:lang w:val="fr-FR"/>
              </w:rPr>
              <w:t>aise</w:t>
            </w:r>
          </w:p>
        </w:tc>
      </w:tr>
      <w:tr w:rsidR="002F2FEE" w:rsidTr="00997012">
        <w:trPr>
          <w:jc w:val="center"/>
        </w:trPr>
        <w:tc>
          <w:tcPr>
            <w:tcW w:w="851" w:type="dxa"/>
            <w:vAlign w:val="center"/>
          </w:tcPr>
          <w:p w:rsidR="00624475" w:rsidRPr="002F2FEE" w:rsidRDefault="00624475" w:rsidP="002F2FEE">
            <w:pPr>
              <w:spacing w:before="0"/>
              <w:rPr>
                <w:rFonts w:cstheme="minorHAnsi"/>
                <w:sz w:val="18"/>
                <w:szCs w:val="18"/>
                <w:lang w:val="fr-FR"/>
              </w:rPr>
            </w:pPr>
            <w:r w:rsidRPr="002F2FEE">
              <w:rPr>
                <w:rFonts w:cstheme="minorHAnsi"/>
                <w:sz w:val="18"/>
                <w:szCs w:val="18"/>
                <w:lang w:val="fr-FR"/>
              </w:rPr>
              <w:t>1999</w:t>
            </w: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851" w:type="dxa"/>
            <w:vAlign w:val="center"/>
          </w:tcPr>
          <w:p w:rsidR="00624475" w:rsidRPr="002F2FEE" w:rsidRDefault="00624475" w:rsidP="002F2FEE">
            <w:pPr>
              <w:spacing w:before="0"/>
              <w:jc w:val="center"/>
              <w:rPr>
                <w:rFonts w:cstheme="minorHAnsi"/>
                <w:sz w:val="18"/>
                <w:szCs w:val="18"/>
                <w:lang w:val="fr-FR"/>
              </w:rPr>
            </w:pPr>
          </w:p>
        </w:tc>
        <w:tc>
          <w:tcPr>
            <w:tcW w:w="850" w:type="dxa"/>
            <w:vAlign w:val="center"/>
          </w:tcPr>
          <w:p w:rsidR="00624475" w:rsidRPr="002F2FEE" w:rsidRDefault="00624475" w:rsidP="002F2FEE">
            <w:pPr>
              <w:spacing w:before="0"/>
              <w:jc w:val="center"/>
              <w:rPr>
                <w:rFonts w:cstheme="minorHAnsi"/>
                <w:color w:val="4F81BD" w:themeColor="accent1"/>
                <w:sz w:val="18"/>
                <w:szCs w:val="18"/>
                <w:lang w:val="fr-FR"/>
              </w:rPr>
            </w:pPr>
            <w:r w:rsidRPr="002F2FEE">
              <w:rPr>
                <w:rFonts w:cstheme="minorHAnsi"/>
                <w:color w:val="4F81BD" w:themeColor="accent1"/>
                <w:sz w:val="18"/>
                <w:szCs w:val="18"/>
                <w:lang w:val="fr-FR"/>
              </w:rPr>
              <w:t>49,1</w:t>
            </w:r>
            <w:r w:rsidR="00862FFF">
              <w:rPr>
                <w:rFonts w:cstheme="minorHAnsi"/>
                <w:color w:val="4F81BD" w:themeColor="accent1"/>
                <w:sz w:val="18"/>
                <w:szCs w:val="18"/>
                <w:lang w:val="fr-FR"/>
              </w:rPr>
              <w:t xml:space="preserve"> </w:t>
            </w:r>
            <w:r w:rsidRPr="002F2FEE">
              <w:rPr>
                <w:rFonts w:cstheme="minorHAnsi"/>
                <w:color w:val="4F81BD" w:themeColor="accent1"/>
                <w:sz w:val="18"/>
                <w:szCs w:val="18"/>
                <w:lang w:val="fr-FR"/>
              </w:rPr>
              <w:t>%</w:t>
            </w: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993" w:type="dxa"/>
            <w:vAlign w:val="center"/>
          </w:tcPr>
          <w:p w:rsidR="00624475" w:rsidRPr="002F2FEE" w:rsidRDefault="00624475" w:rsidP="002F2FEE">
            <w:pPr>
              <w:spacing w:before="0"/>
              <w:jc w:val="center"/>
              <w:rPr>
                <w:rFonts w:cstheme="minorHAnsi"/>
                <w:sz w:val="18"/>
                <w:szCs w:val="18"/>
                <w:lang w:val="fr-FR"/>
              </w:rPr>
            </w:pPr>
          </w:p>
        </w:tc>
        <w:tc>
          <w:tcPr>
            <w:tcW w:w="992" w:type="dxa"/>
            <w:vAlign w:val="center"/>
          </w:tcPr>
          <w:p w:rsidR="00624475" w:rsidRPr="002F2FEE" w:rsidRDefault="00624475" w:rsidP="002F2FEE">
            <w:pPr>
              <w:spacing w:before="0"/>
              <w:jc w:val="center"/>
              <w:rPr>
                <w:rFonts w:cstheme="minorHAnsi"/>
                <w:sz w:val="18"/>
                <w:szCs w:val="18"/>
                <w:lang w:val="fr-FR"/>
              </w:rPr>
            </w:pPr>
          </w:p>
        </w:tc>
        <w:tc>
          <w:tcPr>
            <w:tcW w:w="992" w:type="dxa"/>
            <w:vAlign w:val="center"/>
          </w:tcPr>
          <w:p w:rsidR="00624475" w:rsidRPr="002F2FEE" w:rsidRDefault="00624475" w:rsidP="002F2FEE">
            <w:pPr>
              <w:spacing w:before="0"/>
              <w:jc w:val="center"/>
              <w:rPr>
                <w:rFonts w:cstheme="minorHAnsi"/>
                <w:sz w:val="18"/>
                <w:szCs w:val="18"/>
                <w:lang w:val="fr-FR"/>
              </w:rPr>
            </w:pPr>
          </w:p>
        </w:tc>
      </w:tr>
      <w:tr w:rsidR="002F2FEE" w:rsidTr="00997012">
        <w:trPr>
          <w:jc w:val="center"/>
        </w:trPr>
        <w:tc>
          <w:tcPr>
            <w:tcW w:w="851" w:type="dxa"/>
            <w:vAlign w:val="center"/>
          </w:tcPr>
          <w:p w:rsidR="00EF4F7B" w:rsidRPr="002F2FEE" w:rsidRDefault="00EF4F7B" w:rsidP="002F2FEE">
            <w:pPr>
              <w:spacing w:before="0"/>
              <w:rPr>
                <w:rFonts w:cstheme="minorHAnsi"/>
                <w:sz w:val="18"/>
                <w:szCs w:val="18"/>
                <w:lang w:val="fr-FR"/>
              </w:rPr>
            </w:pPr>
            <w:r w:rsidRPr="002F2FEE">
              <w:rPr>
                <w:rFonts w:cstheme="minorHAnsi"/>
                <w:sz w:val="18"/>
                <w:szCs w:val="18"/>
                <w:lang w:val="fr-FR"/>
              </w:rPr>
              <w:t>2001</w:t>
            </w:r>
          </w:p>
        </w:tc>
        <w:tc>
          <w:tcPr>
            <w:tcW w:w="1134" w:type="dxa"/>
            <w:vAlign w:val="center"/>
          </w:tcPr>
          <w:p w:rsidR="00EF4F7B" w:rsidRPr="002F2FEE" w:rsidRDefault="00EF4F7B" w:rsidP="002F2FEE">
            <w:pPr>
              <w:spacing w:before="0"/>
              <w:jc w:val="center"/>
              <w:rPr>
                <w:rFonts w:cstheme="minorHAnsi"/>
                <w:sz w:val="18"/>
                <w:szCs w:val="18"/>
                <w:lang w:val="fr-FR"/>
              </w:rPr>
            </w:pPr>
          </w:p>
        </w:tc>
        <w:tc>
          <w:tcPr>
            <w:tcW w:w="1134" w:type="dxa"/>
            <w:vAlign w:val="center"/>
          </w:tcPr>
          <w:p w:rsidR="00EF4F7B" w:rsidRPr="002F2FEE" w:rsidRDefault="00EF4F7B" w:rsidP="002F2FEE">
            <w:pPr>
              <w:spacing w:before="0"/>
              <w:jc w:val="center"/>
              <w:rPr>
                <w:rFonts w:cstheme="minorHAnsi"/>
                <w:sz w:val="18"/>
                <w:szCs w:val="18"/>
                <w:lang w:val="fr-FR"/>
              </w:rPr>
            </w:pPr>
          </w:p>
        </w:tc>
        <w:tc>
          <w:tcPr>
            <w:tcW w:w="851" w:type="dxa"/>
            <w:vAlign w:val="center"/>
          </w:tcPr>
          <w:p w:rsidR="00EF4F7B" w:rsidRPr="002F2FEE" w:rsidRDefault="00EF4F7B" w:rsidP="002F2FEE">
            <w:pPr>
              <w:spacing w:before="0"/>
              <w:jc w:val="center"/>
              <w:rPr>
                <w:rFonts w:cstheme="minorHAnsi"/>
                <w:sz w:val="18"/>
                <w:szCs w:val="18"/>
                <w:lang w:val="fr-FR"/>
              </w:rPr>
            </w:pPr>
          </w:p>
        </w:tc>
        <w:tc>
          <w:tcPr>
            <w:tcW w:w="850" w:type="dxa"/>
            <w:vAlign w:val="center"/>
          </w:tcPr>
          <w:p w:rsidR="00EF4F7B" w:rsidRPr="002F2FEE" w:rsidRDefault="00624475" w:rsidP="002F2FEE">
            <w:pPr>
              <w:spacing w:before="0"/>
              <w:jc w:val="center"/>
              <w:rPr>
                <w:rFonts w:cstheme="minorHAnsi"/>
                <w:color w:val="4F81BD" w:themeColor="accent1"/>
                <w:sz w:val="18"/>
                <w:szCs w:val="18"/>
                <w:lang w:val="fr-FR"/>
              </w:rPr>
            </w:pPr>
            <w:r w:rsidRPr="002F2FEE">
              <w:rPr>
                <w:rFonts w:cstheme="minorHAnsi"/>
                <w:color w:val="4F81BD" w:themeColor="accent1"/>
                <w:sz w:val="18"/>
                <w:szCs w:val="18"/>
                <w:lang w:val="fr-FR"/>
              </w:rPr>
              <w:t>49,6</w:t>
            </w:r>
            <w:r w:rsidR="00862FFF">
              <w:rPr>
                <w:rFonts w:cstheme="minorHAnsi"/>
                <w:color w:val="4F81BD" w:themeColor="accent1"/>
                <w:sz w:val="18"/>
                <w:szCs w:val="18"/>
                <w:lang w:val="fr-FR"/>
              </w:rPr>
              <w:t xml:space="preserve"> </w:t>
            </w:r>
            <w:r w:rsidRPr="002F2FEE">
              <w:rPr>
                <w:rFonts w:cstheme="minorHAnsi"/>
                <w:color w:val="4F81BD" w:themeColor="accent1"/>
                <w:sz w:val="18"/>
                <w:szCs w:val="18"/>
                <w:lang w:val="fr-FR"/>
              </w:rPr>
              <w:t>%</w:t>
            </w:r>
          </w:p>
        </w:tc>
        <w:tc>
          <w:tcPr>
            <w:tcW w:w="1134" w:type="dxa"/>
            <w:vAlign w:val="center"/>
          </w:tcPr>
          <w:p w:rsidR="00EF4F7B" w:rsidRPr="002F2FEE" w:rsidRDefault="00EF4F7B" w:rsidP="002F2FEE">
            <w:pPr>
              <w:spacing w:before="0"/>
              <w:jc w:val="center"/>
              <w:rPr>
                <w:rFonts w:cstheme="minorHAnsi"/>
                <w:sz w:val="18"/>
                <w:szCs w:val="18"/>
                <w:lang w:val="fr-FR"/>
              </w:rPr>
            </w:pPr>
          </w:p>
        </w:tc>
        <w:tc>
          <w:tcPr>
            <w:tcW w:w="993" w:type="dxa"/>
            <w:vAlign w:val="center"/>
          </w:tcPr>
          <w:p w:rsidR="00EF4F7B" w:rsidRPr="002F2FEE" w:rsidRDefault="004E737B" w:rsidP="002F2FEE">
            <w:pPr>
              <w:spacing w:before="0"/>
              <w:jc w:val="center"/>
              <w:rPr>
                <w:rFonts w:cstheme="minorHAnsi"/>
                <w:color w:val="31849B" w:themeColor="accent5" w:themeShade="BF"/>
                <w:sz w:val="18"/>
                <w:szCs w:val="18"/>
                <w:lang w:val="fr-FR"/>
              </w:rPr>
            </w:pPr>
            <w:r w:rsidRPr="002F2FEE">
              <w:rPr>
                <w:rFonts w:cstheme="minorHAnsi"/>
                <w:color w:val="31849B" w:themeColor="accent5" w:themeShade="BF"/>
                <w:sz w:val="18"/>
                <w:szCs w:val="18"/>
                <w:lang w:val="fr-FR"/>
              </w:rPr>
              <w:t>30</w:t>
            </w:r>
            <w:r w:rsidR="00862FFF">
              <w:rPr>
                <w:rFonts w:cstheme="minorHAnsi"/>
                <w:color w:val="31849B" w:themeColor="accent5" w:themeShade="BF"/>
                <w:sz w:val="18"/>
                <w:szCs w:val="18"/>
                <w:lang w:val="fr-FR"/>
              </w:rPr>
              <w:t xml:space="preserve"> </w:t>
            </w:r>
            <w:r w:rsidRPr="002F2FEE">
              <w:rPr>
                <w:rFonts w:cstheme="minorHAnsi"/>
                <w:color w:val="31849B" w:themeColor="accent5" w:themeShade="BF"/>
                <w:sz w:val="18"/>
                <w:szCs w:val="18"/>
                <w:lang w:val="fr-FR"/>
              </w:rPr>
              <w:t>%</w:t>
            </w:r>
          </w:p>
        </w:tc>
        <w:tc>
          <w:tcPr>
            <w:tcW w:w="992" w:type="dxa"/>
            <w:vAlign w:val="center"/>
          </w:tcPr>
          <w:p w:rsidR="00EF4F7B" w:rsidRPr="002F2FEE" w:rsidRDefault="00EF4F7B" w:rsidP="002F2FEE">
            <w:pPr>
              <w:spacing w:before="0"/>
              <w:jc w:val="center"/>
              <w:rPr>
                <w:rFonts w:cstheme="minorHAnsi"/>
                <w:sz w:val="18"/>
                <w:szCs w:val="18"/>
                <w:lang w:val="fr-FR"/>
              </w:rPr>
            </w:pPr>
          </w:p>
        </w:tc>
        <w:tc>
          <w:tcPr>
            <w:tcW w:w="992" w:type="dxa"/>
            <w:vAlign w:val="center"/>
          </w:tcPr>
          <w:p w:rsidR="00EF4F7B" w:rsidRPr="002F2FEE" w:rsidRDefault="00EF4F7B" w:rsidP="002F2FEE">
            <w:pPr>
              <w:spacing w:before="0"/>
              <w:jc w:val="center"/>
              <w:rPr>
                <w:rFonts w:cstheme="minorHAnsi"/>
                <w:sz w:val="18"/>
                <w:szCs w:val="18"/>
                <w:lang w:val="fr-FR"/>
              </w:rPr>
            </w:pPr>
          </w:p>
        </w:tc>
      </w:tr>
      <w:tr w:rsidR="002F2FEE" w:rsidTr="00997012">
        <w:trPr>
          <w:jc w:val="center"/>
        </w:trPr>
        <w:tc>
          <w:tcPr>
            <w:tcW w:w="851" w:type="dxa"/>
            <w:vAlign w:val="center"/>
          </w:tcPr>
          <w:p w:rsidR="00624475" w:rsidRPr="002F2FEE" w:rsidRDefault="004E737B" w:rsidP="002F2FEE">
            <w:pPr>
              <w:spacing w:before="0"/>
              <w:rPr>
                <w:rFonts w:cstheme="minorHAnsi"/>
                <w:sz w:val="18"/>
                <w:szCs w:val="18"/>
                <w:lang w:val="fr-FR"/>
              </w:rPr>
            </w:pPr>
            <w:r w:rsidRPr="002F2FEE">
              <w:rPr>
                <w:rFonts w:cstheme="minorHAnsi"/>
                <w:sz w:val="18"/>
                <w:szCs w:val="18"/>
                <w:lang w:val="fr-FR"/>
              </w:rPr>
              <w:t>2004</w:t>
            </w:r>
          </w:p>
        </w:tc>
        <w:tc>
          <w:tcPr>
            <w:tcW w:w="1134" w:type="dxa"/>
            <w:vAlign w:val="center"/>
          </w:tcPr>
          <w:p w:rsidR="00624475" w:rsidRPr="002F2FEE" w:rsidRDefault="004E737B" w:rsidP="002F2FEE">
            <w:pPr>
              <w:spacing w:before="0"/>
              <w:jc w:val="center"/>
              <w:rPr>
                <w:rFonts w:cstheme="minorHAnsi"/>
                <w:color w:val="1F497D" w:themeColor="text2"/>
                <w:sz w:val="18"/>
                <w:szCs w:val="18"/>
                <w:lang w:val="fr-FR"/>
              </w:rPr>
            </w:pPr>
            <w:r w:rsidRPr="002F2FEE">
              <w:rPr>
                <w:rFonts w:cstheme="minorHAnsi"/>
                <w:color w:val="1F497D" w:themeColor="text2"/>
                <w:sz w:val="18"/>
                <w:szCs w:val="18"/>
                <w:lang w:val="fr-FR"/>
              </w:rPr>
              <w:t>72,2</w:t>
            </w:r>
            <w:r w:rsidR="00862FFF">
              <w:rPr>
                <w:rFonts w:cstheme="minorHAnsi"/>
                <w:color w:val="1F497D" w:themeColor="text2"/>
                <w:sz w:val="18"/>
                <w:szCs w:val="18"/>
                <w:lang w:val="fr-FR"/>
              </w:rPr>
              <w:t xml:space="preserve"> </w:t>
            </w:r>
            <w:r w:rsidRPr="002F2FEE">
              <w:rPr>
                <w:rFonts w:cstheme="minorHAnsi"/>
                <w:color w:val="1F497D" w:themeColor="text2"/>
                <w:sz w:val="18"/>
                <w:szCs w:val="18"/>
                <w:lang w:val="fr-FR"/>
              </w:rPr>
              <w:t>%</w:t>
            </w: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851" w:type="dxa"/>
            <w:vAlign w:val="center"/>
          </w:tcPr>
          <w:p w:rsidR="00624475" w:rsidRPr="002F2FEE" w:rsidRDefault="004E737B" w:rsidP="002F2FEE">
            <w:pPr>
              <w:spacing w:before="0"/>
              <w:jc w:val="center"/>
              <w:rPr>
                <w:rFonts w:cstheme="minorHAnsi"/>
                <w:color w:val="1F497D" w:themeColor="text2"/>
                <w:sz w:val="18"/>
                <w:szCs w:val="18"/>
                <w:lang w:val="fr-FR"/>
              </w:rPr>
            </w:pPr>
            <w:r w:rsidRPr="002F2FEE">
              <w:rPr>
                <w:rFonts w:cstheme="minorHAnsi"/>
                <w:color w:val="1F497D" w:themeColor="text2"/>
                <w:sz w:val="18"/>
                <w:szCs w:val="18"/>
                <w:lang w:val="fr-FR"/>
              </w:rPr>
              <w:t>61,6</w:t>
            </w:r>
            <w:r w:rsidR="00862FFF">
              <w:rPr>
                <w:rFonts w:cstheme="minorHAnsi"/>
                <w:color w:val="1F497D" w:themeColor="text2"/>
                <w:sz w:val="18"/>
                <w:szCs w:val="18"/>
                <w:lang w:val="fr-FR"/>
              </w:rPr>
              <w:t xml:space="preserve"> </w:t>
            </w:r>
            <w:r w:rsidRPr="002F2FEE">
              <w:rPr>
                <w:rFonts w:cstheme="minorHAnsi"/>
                <w:color w:val="1F497D" w:themeColor="text2"/>
                <w:sz w:val="18"/>
                <w:szCs w:val="18"/>
                <w:lang w:val="fr-FR"/>
              </w:rPr>
              <w:t>%</w:t>
            </w:r>
          </w:p>
        </w:tc>
        <w:tc>
          <w:tcPr>
            <w:tcW w:w="850" w:type="dxa"/>
            <w:vAlign w:val="center"/>
          </w:tcPr>
          <w:p w:rsidR="00624475" w:rsidRPr="002F2FEE" w:rsidRDefault="004E737B" w:rsidP="002F2FEE">
            <w:pPr>
              <w:spacing w:before="0"/>
              <w:jc w:val="center"/>
              <w:rPr>
                <w:rFonts w:cstheme="minorHAnsi"/>
                <w:color w:val="1F497D" w:themeColor="text2"/>
                <w:sz w:val="18"/>
                <w:szCs w:val="18"/>
                <w:lang w:val="fr-FR"/>
              </w:rPr>
            </w:pPr>
            <w:r w:rsidRPr="002F2FEE">
              <w:rPr>
                <w:rFonts w:cstheme="minorHAnsi"/>
                <w:color w:val="1F497D" w:themeColor="text2"/>
                <w:sz w:val="18"/>
                <w:szCs w:val="18"/>
                <w:lang w:val="fr-FR"/>
              </w:rPr>
              <w:t>49,6 %</w:t>
            </w: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993" w:type="dxa"/>
            <w:vAlign w:val="center"/>
          </w:tcPr>
          <w:p w:rsidR="00624475" w:rsidRPr="002F2FEE" w:rsidRDefault="00624475" w:rsidP="002F2FEE">
            <w:pPr>
              <w:spacing w:before="0"/>
              <w:jc w:val="center"/>
              <w:rPr>
                <w:rFonts w:cstheme="minorHAnsi"/>
                <w:sz w:val="18"/>
                <w:szCs w:val="18"/>
                <w:lang w:val="fr-FR"/>
              </w:rPr>
            </w:pPr>
          </w:p>
        </w:tc>
        <w:tc>
          <w:tcPr>
            <w:tcW w:w="992" w:type="dxa"/>
            <w:vAlign w:val="center"/>
          </w:tcPr>
          <w:p w:rsidR="00624475" w:rsidRPr="002F2FEE" w:rsidRDefault="004E737B" w:rsidP="002F2FEE">
            <w:pPr>
              <w:spacing w:before="0"/>
              <w:jc w:val="center"/>
              <w:rPr>
                <w:rFonts w:cstheme="minorHAnsi"/>
                <w:color w:val="1F497D" w:themeColor="text2"/>
                <w:sz w:val="18"/>
                <w:szCs w:val="18"/>
                <w:lang w:val="fr-FR"/>
              </w:rPr>
            </w:pPr>
            <w:r w:rsidRPr="002F2FEE">
              <w:rPr>
                <w:rFonts w:cstheme="minorHAnsi"/>
                <w:color w:val="1F497D" w:themeColor="text2"/>
                <w:sz w:val="18"/>
                <w:szCs w:val="18"/>
                <w:lang w:val="fr-FR"/>
              </w:rPr>
              <w:t>51,5</w:t>
            </w:r>
            <w:r w:rsidR="00862FFF">
              <w:rPr>
                <w:rFonts w:cstheme="minorHAnsi"/>
                <w:color w:val="1F497D" w:themeColor="text2"/>
                <w:sz w:val="18"/>
                <w:szCs w:val="18"/>
                <w:lang w:val="fr-FR"/>
              </w:rPr>
              <w:t xml:space="preserve"> </w:t>
            </w:r>
            <w:r w:rsidRPr="002F2FEE">
              <w:rPr>
                <w:rFonts w:cstheme="minorHAnsi"/>
                <w:color w:val="1F497D" w:themeColor="text2"/>
                <w:sz w:val="18"/>
                <w:szCs w:val="18"/>
                <w:lang w:val="fr-FR"/>
              </w:rPr>
              <w:t>%</w:t>
            </w:r>
          </w:p>
        </w:tc>
        <w:tc>
          <w:tcPr>
            <w:tcW w:w="992" w:type="dxa"/>
            <w:vAlign w:val="center"/>
          </w:tcPr>
          <w:p w:rsidR="00624475" w:rsidRPr="002F2FEE" w:rsidRDefault="004E737B" w:rsidP="002F2FEE">
            <w:pPr>
              <w:spacing w:before="0"/>
              <w:jc w:val="center"/>
              <w:rPr>
                <w:rFonts w:cstheme="minorHAnsi"/>
                <w:sz w:val="18"/>
                <w:szCs w:val="18"/>
                <w:lang w:val="fr-FR"/>
              </w:rPr>
            </w:pPr>
            <w:r w:rsidRPr="002F2FEE">
              <w:rPr>
                <w:rFonts w:cstheme="minorHAnsi"/>
                <w:color w:val="1F497D" w:themeColor="text2"/>
                <w:sz w:val="18"/>
                <w:szCs w:val="18"/>
                <w:lang w:val="fr-FR"/>
              </w:rPr>
              <w:t>44,3</w:t>
            </w:r>
            <w:r w:rsidR="00862FFF">
              <w:rPr>
                <w:rFonts w:cstheme="minorHAnsi"/>
                <w:color w:val="1F497D" w:themeColor="text2"/>
                <w:sz w:val="18"/>
                <w:szCs w:val="18"/>
                <w:lang w:val="fr-FR"/>
              </w:rPr>
              <w:t xml:space="preserve"> </w:t>
            </w:r>
            <w:r w:rsidRPr="002F2FEE">
              <w:rPr>
                <w:rFonts w:cstheme="minorHAnsi"/>
                <w:color w:val="1F497D" w:themeColor="text2"/>
                <w:sz w:val="18"/>
                <w:szCs w:val="18"/>
                <w:lang w:val="fr-FR"/>
              </w:rPr>
              <w:t>%</w:t>
            </w:r>
          </w:p>
        </w:tc>
      </w:tr>
      <w:tr w:rsidR="002F2FEE" w:rsidTr="00997012">
        <w:trPr>
          <w:jc w:val="center"/>
        </w:trPr>
        <w:tc>
          <w:tcPr>
            <w:tcW w:w="851" w:type="dxa"/>
            <w:vAlign w:val="center"/>
          </w:tcPr>
          <w:p w:rsidR="004E737B" w:rsidRPr="002F2FEE" w:rsidRDefault="004E737B" w:rsidP="002F2FEE">
            <w:pPr>
              <w:spacing w:before="0"/>
              <w:rPr>
                <w:rFonts w:cstheme="minorHAnsi"/>
                <w:sz w:val="18"/>
                <w:szCs w:val="18"/>
                <w:lang w:val="fr-FR"/>
              </w:rPr>
            </w:pPr>
            <w:r w:rsidRPr="002F2FEE">
              <w:rPr>
                <w:rFonts w:cstheme="minorHAnsi"/>
                <w:sz w:val="18"/>
                <w:szCs w:val="18"/>
                <w:lang w:val="fr-FR"/>
              </w:rPr>
              <w:t>2006</w:t>
            </w:r>
          </w:p>
        </w:tc>
        <w:tc>
          <w:tcPr>
            <w:tcW w:w="1134" w:type="dxa"/>
            <w:vAlign w:val="center"/>
          </w:tcPr>
          <w:p w:rsidR="004E737B" w:rsidRPr="002F2FEE" w:rsidRDefault="004E737B" w:rsidP="002F2FEE">
            <w:pPr>
              <w:spacing w:before="0"/>
              <w:jc w:val="center"/>
              <w:rPr>
                <w:rFonts w:cstheme="minorHAnsi"/>
                <w:sz w:val="18"/>
                <w:szCs w:val="18"/>
                <w:lang w:val="fr-FR"/>
              </w:rPr>
            </w:pPr>
          </w:p>
        </w:tc>
        <w:tc>
          <w:tcPr>
            <w:tcW w:w="1134" w:type="dxa"/>
            <w:vAlign w:val="center"/>
          </w:tcPr>
          <w:p w:rsidR="004E737B" w:rsidRPr="002F2FEE" w:rsidRDefault="004E737B" w:rsidP="002F2FEE">
            <w:pPr>
              <w:spacing w:before="0"/>
              <w:jc w:val="center"/>
              <w:rPr>
                <w:rFonts w:cstheme="minorHAnsi"/>
                <w:sz w:val="18"/>
                <w:szCs w:val="18"/>
                <w:lang w:val="fr-FR"/>
              </w:rPr>
            </w:pPr>
            <w:r w:rsidRPr="002F2FEE">
              <w:rPr>
                <w:rFonts w:cstheme="minorHAnsi"/>
                <w:sz w:val="18"/>
                <w:szCs w:val="18"/>
                <w:lang w:val="fr-FR"/>
              </w:rPr>
              <w:t>72,2</w:t>
            </w:r>
            <w:r w:rsidR="00862FFF">
              <w:rPr>
                <w:rFonts w:cstheme="minorHAnsi"/>
                <w:sz w:val="18"/>
                <w:szCs w:val="18"/>
                <w:lang w:val="fr-FR"/>
              </w:rPr>
              <w:t xml:space="preserve"> </w:t>
            </w:r>
            <w:r w:rsidRPr="002F2FEE">
              <w:rPr>
                <w:rFonts w:cstheme="minorHAnsi"/>
                <w:sz w:val="18"/>
                <w:szCs w:val="18"/>
                <w:lang w:val="fr-FR"/>
              </w:rPr>
              <w:t>%</w:t>
            </w:r>
          </w:p>
        </w:tc>
        <w:tc>
          <w:tcPr>
            <w:tcW w:w="851" w:type="dxa"/>
            <w:vAlign w:val="center"/>
          </w:tcPr>
          <w:p w:rsidR="004E737B" w:rsidRPr="002F2FEE" w:rsidRDefault="004E737B" w:rsidP="002F2FEE">
            <w:pPr>
              <w:spacing w:before="0"/>
              <w:jc w:val="center"/>
              <w:rPr>
                <w:rFonts w:cstheme="minorHAnsi"/>
                <w:sz w:val="18"/>
                <w:szCs w:val="18"/>
                <w:lang w:val="fr-FR"/>
              </w:rPr>
            </w:pPr>
          </w:p>
        </w:tc>
        <w:tc>
          <w:tcPr>
            <w:tcW w:w="850" w:type="dxa"/>
            <w:vAlign w:val="center"/>
          </w:tcPr>
          <w:p w:rsidR="004E737B" w:rsidRPr="002F2FEE" w:rsidRDefault="004E737B" w:rsidP="002F2FEE">
            <w:pPr>
              <w:spacing w:before="0"/>
              <w:jc w:val="center"/>
              <w:rPr>
                <w:rFonts w:cstheme="minorHAnsi"/>
                <w:color w:val="4F81BD" w:themeColor="accent1"/>
                <w:sz w:val="18"/>
                <w:szCs w:val="18"/>
                <w:lang w:val="fr-FR"/>
              </w:rPr>
            </w:pPr>
            <w:r w:rsidRPr="002F2FEE">
              <w:rPr>
                <w:rFonts w:cstheme="minorHAnsi"/>
                <w:color w:val="4F81BD" w:themeColor="accent1"/>
                <w:sz w:val="18"/>
                <w:szCs w:val="18"/>
                <w:lang w:val="fr-FR"/>
              </w:rPr>
              <w:t>54,8</w:t>
            </w:r>
            <w:r w:rsidR="00862FFF">
              <w:rPr>
                <w:rFonts w:cstheme="minorHAnsi"/>
                <w:color w:val="4F81BD" w:themeColor="accent1"/>
                <w:sz w:val="18"/>
                <w:szCs w:val="18"/>
                <w:lang w:val="fr-FR"/>
              </w:rPr>
              <w:t xml:space="preserve"> </w:t>
            </w:r>
            <w:r w:rsidRPr="002F2FEE">
              <w:rPr>
                <w:rFonts w:cstheme="minorHAnsi"/>
                <w:color w:val="4F81BD" w:themeColor="accent1"/>
                <w:sz w:val="18"/>
                <w:szCs w:val="18"/>
                <w:lang w:val="fr-FR"/>
              </w:rPr>
              <w:t>%</w:t>
            </w:r>
          </w:p>
        </w:tc>
        <w:tc>
          <w:tcPr>
            <w:tcW w:w="1134" w:type="dxa"/>
            <w:vAlign w:val="center"/>
          </w:tcPr>
          <w:p w:rsidR="004E737B" w:rsidRPr="002F2FEE" w:rsidRDefault="004E737B" w:rsidP="002F2FEE">
            <w:pPr>
              <w:spacing w:before="0"/>
              <w:jc w:val="center"/>
              <w:rPr>
                <w:rFonts w:cstheme="minorHAnsi"/>
                <w:sz w:val="18"/>
                <w:szCs w:val="18"/>
                <w:lang w:val="fr-FR"/>
              </w:rPr>
            </w:pPr>
            <w:r w:rsidRPr="002F2FEE">
              <w:rPr>
                <w:rFonts w:cstheme="minorHAnsi"/>
                <w:sz w:val="18"/>
                <w:szCs w:val="18"/>
                <w:lang w:val="fr-FR"/>
              </w:rPr>
              <w:t>53,8</w:t>
            </w:r>
            <w:r w:rsidR="00862FFF">
              <w:rPr>
                <w:rFonts w:cstheme="minorHAnsi"/>
                <w:sz w:val="18"/>
                <w:szCs w:val="18"/>
                <w:lang w:val="fr-FR"/>
              </w:rPr>
              <w:t xml:space="preserve"> </w:t>
            </w:r>
            <w:r w:rsidRPr="002F2FEE">
              <w:rPr>
                <w:rFonts w:cstheme="minorHAnsi"/>
                <w:sz w:val="18"/>
                <w:szCs w:val="18"/>
                <w:lang w:val="fr-FR"/>
              </w:rPr>
              <w:t>%</w:t>
            </w:r>
          </w:p>
        </w:tc>
        <w:tc>
          <w:tcPr>
            <w:tcW w:w="993" w:type="dxa"/>
            <w:vAlign w:val="center"/>
          </w:tcPr>
          <w:p w:rsidR="004E737B" w:rsidRPr="002F2FEE" w:rsidRDefault="004E737B" w:rsidP="002F2FEE">
            <w:pPr>
              <w:spacing w:before="0"/>
              <w:jc w:val="center"/>
              <w:rPr>
                <w:rFonts w:cstheme="minorHAnsi"/>
                <w:sz w:val="18"/>
                <w:szCs w:val="18"/>
                <w:lang w:val="fr-FR"/>
              </w:rPr>
            </w:pPr>
          </w:p>
        </w:tc>
        <w:tc>
          <w:tcPr>
            <w:tcW w:w="992" w:type="dxa"/>
            <w:vAlign w:val="center"/>
          </w:tcPr>
          <w:p w:rsidR="004E737B" w:rsidRPr="002F2FEE" w:rsidRDefault="004E737B" w:rsidP="002F2FEE">
            <w:pPr>
              <w:spacing w:before="0"/>
              <w:jc w:val="center"/>
              <w:rPr>
                <w:rFonts w:cstheme="minorHAnsi"/>
                <w:sz w:val="18"/>
                <w:szCs w:val="18"/>
                <w:lang w:val="fr-FR"/>
              </w:rPr>
            </w:pPr>
          </w:p>
        </w:tc>
        <w:tc>
          <w:tcPr>
            <w:tcW w:w="992" w:type="dxa"/>
            <w:vAlign w:val="center"/>
          </w:tcPr>
          <w:p w:rsidR="004E737B" w:rsidRPr="002F2FEE" w:rsidRDefault="004E737B" w:rsidP="002F2FEE">
            <w:pPr>
              <w:spacing w:before="0"/>
              <w:jc w:val="center"/>
              <w:rPr>
                <w:rFonts w:cstheme="minorHAnsi"/>
                <w:color w:val="1F497D" w:themeColor="text2"/>
                <w:sz w:val="18"/>
                <w:szCs w:val="18"/>
                <w:lang w:val="fr-FR"/>
              </w:rPr>
            </w:pPr>
          </w:p>
        </w:tc>
      </w:tr>
      <w:tr w:rsidR="002F2FEE" w:rsidTr="00997012">
        <w:trPr>
          <w:jc w:val="center"/>
        </w:trPr>
        <w:tc>
          <w:tcPr>
            <w:tcW w:w="851" w:type="dxa"/>
            <w:vAlign w:val="center"/>
          </w:tcPr>
          <w:p w:rsidR="00624475" w:rsidRPr="002F2FEE" w:rsidRDefault="00914B61" w:rsidP="002F2FEE">
            <w:pPr>
              <w:spacing w:before="0"/>
              <w:rPr>
                <w:rFonts w:cstheme="minorHAnsi"/>
                <w:sz w:val="18"/>
                <w:szCs w:val="18"/>
                <w:lang w:val="fr-FR"/>
              </w:rPr>
            </w:pPr>
            <w:r w:rsidRPr="002F2FEE">
              <w:rPr>
                <w:rFonts w:cstheme="minorHAnsi"/>
                <w:sz w:val="18"/>
                <w:szCs w:val="18"/>
                <w:lang w:val="fr-FR"/>
              </w:rPr>
              <w:t>2007</w:t>
            </w: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851" w:type="dxa"/>
            <w:vAlign w:val="center"/>
          </w:tcPr>
          <w:p w:rsidR="00624475" w:rsidRPr="002F2FEE" w:rsidRDefault="00624475" w:rsidP="002F2FEE">
            <w:pPr>
              <w:spacing w:before="0"/>
              <w:jc w:val="center"/>
              <w:rPr>
                <w:rFonts w:cstheme="minorHAnsi"/>
                <w:sz w:val="18"/>
                <w:szCs w:val="18"/>
                <w:lang w:val="fr-FR"/>
              </w:rPr>
            </w:pPr>
          </w:p>
        </w:tc>
        <w:tc>
          <w:tcPr>
            <w:tcW w:w="850" w:type="dxa"/>
            <w:vAlign w:val="center"/>
          </w:tcPr>
          <w:p w:rsidR="00624475" w:rsidRPr="002F2FEE" w:rsidRDefault="00624475" w:rsidP="002F2FEE">
            <w:pPr>
              <w:spacing w:before="0"/>
              <w:jc w:val="center"/>
              <w:rPr>
                <w:rFonts w:cstheme="minorHAnsi"/>
                <w:sz w:val="18"/>
                <w:szCs w:val="18"/>
                <w:lang w:val="fr-FR"/>
              </w:rPr>
            </w:pPr>
          </w:p>
        </w:tc>
        <w:tc>
          <w:tcPr>
            <w:tcW w:w="1134" w:type="dxa"/>
            <w:vAlign w:val="center"/>
          </w:tcPr>
          <w:p w:rsidR="00624475" w:rsidRPr="002F2FEE" w:rsidRDefault="00624475" w:rsidP="002F2FEE">
            <w:pPr>
              <w:spacing w:before="0"/>
              <w:jc w:val="center"/>
              <w:rPr>
                <w:rFonts w:cstheme="minorHAnsi"/>
                <w:sz w:val="18"/>
                <w:szCs w:val="18"/>
                <w:lang w:val="fr-FR"/>
              </w:rPr>
            </w:pPr>
          </w:p>
        </w:tc>
        <w:tc>
          <w:tcPr>
            <w:tcW w:w="993" w:type="dxa"/>
            <w:vAlign w:val="center"/>
          </w:tcPr>
          <w:p w:rsidR="00624475" w:rsidRPr="002F2FEE" w:rsidRDefault="004E737B" w:rsidP="002F2FEE">
            <w:pPr>
              <w:spacing w:before="0"/>
              <w:jc w:val="center"/>
              <w:rPr>
                <w:rFonts w:cstheme="minorHAnsi"/>
                <w:color w:val="31849B" w:themeColor="accent5" w:themeShade="BF"/>
                <w:sz w:val="18"/>
                <w:szCs w:val="18"/>
                <w:lang w:val="fr-FR"/>
              </w:rPr>
            </w:pPr>
            <w:r w:rsidRPr="002F2FEE">
              <w:rPr>
                <w:rFonts w:cstheme="minorHAnsi"/>
                <w:color w:val="31849B" w:themeColor="accent5" w:themeShade="BF"/>
                <w:sz w:val="18"/>
                <w:szCs w:val="18"/>
                <w:lang w:val="fr-FR"/>
              </w:rPr>
              <w:t>53,8</w:t>
            </w:r>
            <w:r w:rsidR="00862FFF">
              <w:rPr>
                <w:rFonts w:cstheme="minorHAnsi"/>
                <w:color w:val="31849B" w:themeColor="accent5" w:themeShade="BF"/>
                <w:sz w:val="18"/>
                <w:szCs w:val="18"/>
                <w:lang w:val="fr-FR"/>
              </w:rPr>
              <w:t xml:space="preserve"> </w:t>
            </w:r>
            <w:r w:rsidRPr="002F2FEE">
              <w:rPr>
                <w:rFonts w:cstheme="minorHAnsi"/>
                <w:color w:val="31849B" w:themeColor="accent5" w:themeShade="BF"/>
                <w:sz w:val="18"/>
                <w:szCs w:val="18"/>
                <w:lang w:val="fr-FR"/>
              </w:rPr>
              <w:t>%</w:t>
            </w:r>
          </w:p>
        </w:tc>
        <w:tc>
          <w:tcPr>
            <w:tcW w:w="992" w:type="dxa"/>
            <w:vAlign w:val="center"/>
          </w:tcPr>
          <w:p w:rsidR="00624475" w:rsidRPr="002F2FEE" w:rsidRDefault="00624475" w:rsidP="002F2FEE">
            <w:pPr>
              <w:spacing w:before="0"/>
              <w:jc w:val="center"/>
              <w:rPr>
                <w:rFonts w:cstheme="minorHAnsi"/>
                <w:sz w:val="18"/>
                <w:szCs w:val="18"/>
                <w:lang w:val="fr-FR"/>
              </w:rPr>
            </w:pPr>
          </w:p>
        </w:tc>
        <w:tc>
          <w:tcPr>
            <w:tcW w:w="992" w:type="dxa"/>
            <w:vAlign w:val="center"/>
          </w:tcPr>
          <w:p w:rsidR="00624475" w:rsidRPr="002F2FEE" w:rsidRDefault="00624475" w:rsidP="002F2FEE">
            <w:pPr>
              <w:spacing w:before="0"/>
              <w:jc w:val="center"/>
              <w:rPr>
                <w:rFonts w:cstheme="minorHAnsi"/>
                <w:sz w:val="18"/>
                <w:szCs w:val="18"/>
                <w:lang w:val="fr-FR"/>
              </w:rPr>
            </w:pPr>
          </w:p>
        </w:tc>
      </w:tr>
    </w:tbl>
    <w:p w:rsidR="00853480" w:rsidRDefault="002F2FEE" w:rsidP="000570D5">
      <w:pPr>
        <w:jc w:val="both"/>
        <w:rPr>
          <w:lang w:val="fr-FR"/>
        </w:rPr>
      </w:pPr>
      <w:r>
        <w:rPr>
          <w:lang w:val="fr-FR"/>
        </w:rPr>
        <w:lastRenderedPageBreak/>
        <w:t>C</w:t>
      </w:r>
      <w:r w:rsidR="00922101" w:rsidRPr="00C8316D">
        <w:rPr>
          <w:lang w:val="fr-FR"/>
        </w:rPr>
        <w:t>e</w:t>
      </w:r>
      <w:r w:rsidR="00EF4F7B">
        <w:rPr>
          <w:lang w:val="fr-FR"/>
        </w:rPr>
        <w:t>s données</w:t>
      </w:r>
      <w:r>
        <w:rPr>
          <w:lang w:val="fr-FR"/>
        </w:rPr>
        <w:t>,</w:t>
      </w:r>
      <w:r w:rsidR="00EF4F7B">
        <w:rPr>
          <w:lang w:val="fr-FR"/>
        </w:rPr>
        <w:t xml:space="preserve"> </w:t>
      </w:r>
      <w:r w:rsidR="00922101" w:rsidRPr="00C8316D">
        <w:rPr>
          <w:lang w:val="fr-FR"/>
        </w:rPr>
        <w:t>associé</w:t>
      </w:r>
      <w:r>
        <w:rPr>
          <w:lang w:val="fr-FR"/>
        </w:rPr>
        <w:t>e</w:t>
      </w:r>
      <w:r w:rsidR="00C8316D">
        <w:rPr>
          <w:lang w:val="fr-FR"/>
        </w:rPr>
        <w:t>s</w:t>
      </w:r>
      <w:r w:rsidR="00922101" w:rsidRPr="00C8316D">
        <w:rPr>
          <w:lang w:val="fr-FR"/>
        </w:rPr>
        <w:t xml:space="preserve"> à la connaissance du nombre de personnes par ménage</w:t>
      </w:r>
      <w:r w:rsidR="00EF4F7B">
        <w:rPr>
          <w:lang w:val="fr-FR"/>
        </w:rPr>
        <w:t xml:space="preserve"> (données ponctuelles INSEE)</w:t>
      </w:r>
      <w:r w:rsidR="00922101" w:rsidRPr="00C8316D">
        <w:rPr>
          <w:lang w:val="fr-FR"/>
        </w:rPr>
        <w:t xml:space="preserve"> et </w:t>
      </w:r>
      <w:r w:rsidR="00F54083" w:rsidRPr="00C8316D">
        <w:rPr>
          <w:lang w:val="fr-FR"/>
        </w:rPr>
        <w:t xml:space="preserve">à </w:t>
      </w:r>
      <w:r w:rsidR="00922101" w:rsidRPr="00C8316D">
        <w:rPr>
          <w:lang w:val="fr-FR"/>
        </w:rPr>
        <w:t>la population</w:t>
      </w:r>
      <w:r w:rsidR="00C9663A">
        <w:rPr>
          <w:lang w:val="fr-FR"/>
        </w:rPr>
        <w:t xml:space="preserve"> (données CITEPA)</w:t>
      </w:r>
      <w:r w:rsidR="00922101" w:rsidRPr="00C8316D">
        <w:rPr>
          <w:lang w:val="fr-FR"/>
        </w:rPr>
        <w:t xml:space="preserve"> </w:t>
      </w:r>
      <w:r w:rsidR="00853480" w:rsidRPr="00C8316D">
        <w:rPr>
          <w:lang w:val="fr-FR"/>
        </w:rPr>
        <w:t>permet d’évaluer les</w:t>
      </w:r>
      <w:r w:rsidR="00922101" w:rsidRPr="00C8316D">
        <w:rPr>
          <w:lang w:val="fr-FR"/>
        </w:rPr>
        <w:t xml:space="preserve"> parcs d’équipements puis, à partir d’une durée de vie moyenne, </w:t>
      </w:r>
      <w:r w:rsidR="00EF4F7B">
        <w:rPr>
          <w:lang w:val="fr-FR"/>
        </w:rPr>
        <w:t>d’estimer</w:t>
      </w:r>
      <w:r w:rsidR="00922101" w:rsidRPr="00C8316D">
        <w:rPr>
          <w:lang w:val="fr-FR"/>
        </w:rPr>
        <w:t xml:space="preserve"> les</w:t>
      </w:r>
      <w:r w:rsidR="00853480" w:rsidRPr="00C8316D">
        <w:rPr>
          <w:lang w:val="fr-FR"/>
        </w:rPr>
        <w:t xml:space="preserve"> marchés</w:t>
      </w:r>
      <w:r w:rsidR="00EF4F7B">
        <w:rPr>
          <w:lang w:val="fr-FR"/>
        </w:rPr>
        <w:t xml:space="preserve"> qui</w:t>
      </w:r>
      <w:r w:rsidR="00C93BAD">
        <w:rPr>
          <w:lang w:val="fr-FR"/>
        </w:rPr>
        <w:t xml:space="preserve"> sont présentés tableau </w:t>
      </w:r>
      <w:r w:rsidR="004B64EA">
        <w:rPr>
          <w:lang w:val="fr-FR"/>
        </w:rPr>
        <w:t>5</w:t>
      </w:r>
      <w:r>
        <w:rPr>
          <w:lang w:val="fr-FR"/>
        </w:rPr>
        <w:t>. Les courbes d’évolution des taux d’équipement et du nombre de personnes par ménage ont été extrapolées en tenant compte de la courbe d’évolution connue pour la métropole.</w:t>
      </w:r>
    </w:p>
    <w:p w:rsidR="00C9663A" w:rsidRPr="00AE1334" w:rsidRDefault="00C9663A" w:rsidP="00C9663A">
      <w:pPr>
        <w:pStyle w:val="Sous-titre"/>
        <w:spacing w:after="100"/>
        <w:jc w:val="center"/>
        <w:rPr>
          <w:sz w:val="20"/>
          <w:szCs w:val="20"/>
          <w:lang w:val="fr-FR"/>
        </w:rPr>
      </w:pPr>
      <w:bookmarkStart w:id="15" w:name="OLE_LINK1"/>
      <w:bookmarkStart w:id="16" w:name="OLE_LINK2"/>
      <w:r>
        <w:rPr>
          <w:lang w:val="fr-FR"/>
        </w:rPr>
        <w:t>Tableau 5</w:t>
      </w:r>
      <w:r w:rsidRPr="00C8316D">
        <w:rPr>
          <w:lang w:val="fr-FR"/>
        </w:rPr>
        <w:t xml:space="preserve"> – </w:t>
      </w:r>
      <w:r>
        <w:rPr>
          <w:lang w:val="fr-FR"/>
        </w:rPr>
        <w:t>marches de froid domestique estimes pour 2010</w:t>
      </w:r>
    </w:p>
    <w:tbl>
      <w:tblPr>
        <w:tblStyle w:val="Grilledutableau"/>
        <w:tblW w:w="0" w:type="auto"/>
        <w:jc w:val="center"/>
        <w:tblLook w:val="04A0"/>
      </w:tblPr>
      <w:tblGrid>
        <w:gridCol w:w="1341"/>
        <w:gridCol w:w="1127"/>
        <w:gridCol w:w="1209"/>
        <w:gridCol w:w="1109"/>
        <w:gridCol w:w="1134"/>
        <w:gridCol w:w="1276"/>
        <w:gridCol w:w="992"/>
        <w:gridCol w:w="992"/>
      </w:tblGrid>
      <w:tr w:rsidR="00997012" w:rsidTr="00F9187E">
        <w:trPr>
          <w:jc w:val="center"/>
        </w:trPr>
        <w:tc>
          <w:tcPr>
            <w:tcW w:w="1341" w:type="dxa"/>
            <w:shd w:val="clear" w:color="auto" w:fill="C6D9F1" w:themeFill="text2" w:themeFillTint="33"/>
            <w:vAlign w:val="center"/>
          </w:tcPr>
          <w:bookmarkEnd w:id="15"/>
          <w:bookmarkEnd w:id="16"/>
          <w:p w:rsidR="00997012" w:rsidRDefault="00997012" w:rsidP="00997012">
            <w:pPr>
              <w:spacing w:before="0"/>
              <w:rPr>
                <w:lang w:val="fr-FR"/>
              </w:rPr>
            </w:pPr>
            <w:r>
              <w:rPr>
                <w:lang w:val="fr-FR"/>
              </w:rPr>
              <w:t>2010</w:t>
            </w:r>
          </w:p>
        </w:tc>
        <w:tc>
          <w:tcPr>
            <w:tcW w:w="1127" w:type="dxa"/>
            <w:shd w:val="clear" w:color="auto" w:fill="C6D9F1" w:themeFill="text2" w:themeFillTint="33"/>
            <w:vAlign w:val="center"/>
          </w:tcPr>
          <w:p w:rsidR="00997012" w:rsidRDefault="00997012" w:rsidP="00997012">
            <w:pPr>
              <w:spacing w:before="0"/>
              <w:jc w:val="center"/>
              <w:rPr>
                <w:lang w:val="fr-FR"/>
              </w:rPr>
            </w:pPr>
            <w:r>
              <w:rPr>
                <w:lang w:val="fr-FR"/>
              </w:rPr>
              <w:t>Martinique</w:t>
            </w:r>
          </w:p>
        </w:tc>
        <w:tc>
          <w:tcPr>
            <w:tcW w:w="1209" w:type="dxa"/>
            <w:shd w:val="clear" w:color="auto" w:fill="C6D9F1" w:themeFill="text2" w:themeFillTint="33"/>
            <w:vAlign w:val="center"/>
          </w:tcPr>
          <w:p w:rsidR="00997012" w:rsidRDefault="00997012" w:rsidP="00997012">
            <w:pPr>
              <w:spacing w:before="0"/>
              <w:jc w:val="center"/>
              <w:rPr>
                <w:lang w:val="fr-FR"/>
              </w:rPr>
            </w:pPr>
            <w:r>
              <w:rPr>
                <w:lang w:val="fr-FR"/>
              </w:rPr>
              <w:t>Guadeloupe</w:t>
            </w:r>
          </w:p>
        </w:tc>
        <w:tc>
          <w:tcPr>
            <w:tcW w:w="1109" w:type="dxa"/>
            <w:shd w:val="clear" w:color="auto" w:fill="C6D9F1" w:themeFill="text2" w:themeFillTint="33"/>
            <w:vAlign w:val="center"/>
          </w:tcPr>
          <w:p w:rsidR="00997012" w:rsidRDefault="00997012" w:rsidP="00997012">
            <w:pPr>
              <w:spacing w:before="0"/>
              <w:jc w:val="center"/>
              <w:rPr>
                <w:lang w:val="fr-FR"/>
              </w:rPr>
            </w:pPr>
            <w:r>
              <w:rPr>
                <w:lang w:val="fr-FR"/>
              </w:rPr>
              <w:t>Guyane</w:t>
            </w:r>
          </w:p>
        </w:tc>
        <w:tc>
          <w:tcPr>
            <w:tcW w:w="1134" w:type="dxa"/>
            <w:shd w:val="clear" w:color="auto" w:fill="C6D9F1" w:themeFill="text2" w:themeFillTint="33"/>
            <w:vAlign w:val="center"/>
          </w:tcPr>
          <w:p w:rsidR="00997012" w:rsidRDefault="00997012" w:rsidP="00997012">
            <w:pPr>
              <w:spacing w:before="0"/>
              <w:jc w:val="center"/>
              <w:rPr>
                <w:lang w:val="fr-FR"/>
              </w:rPr>
            </w:pPr>
            <w:r>
              <w:rPr>
                <w:lang w:val="fr-FR"/>
              </w:rPr>
              <w:t>Réunion</w:t>
            </w:r>
          </w:p>
        </w:tc>
        <w:tc>
          <w:tcPr>
            <w:tcW w:w="1276" w:type="dxa"/>
            <w:shd w:val="clear" w:color="auto" w:fill="C6D9F1" w:themeFill="text2" w:themeFillTint="33"/>
            <w:vAlign w:val="center"/>
          </w:tcPr>
          <w:p w:rsidR="00997012" w:rsidRDefault="00997012" w:rsidP="00997012">
            <w:pPr>
              <w:spacing w:before="0"/>
              <w:jc w:val="center"/>
              <w:rPr>
                <w:lang w:val="fr-FR"/>
              </w:rPr>
            </w:pPr>
            <w:r>
              <w:rPr>
                <w:lang w:val="fr-FR"/>
              </w:rPr>
              <w:t>St Pierre &amp; Miquelon</w:t>
            </w:r>
          </w:p>
        </w:tc>
        <w:tc>
          <w:tcPr>
            <w:tcW w:w="992" w:type="dxa"/>
            <w:shd w:val="clear" w:color="auto" w:fill="C6D9F1" w:themeFill="text2" w:themeFillTint="33"/>
            <w:vAlign w:val="center"/>
          </w:tcPr>
          <w:p w:rsidR="00997012" w:rsidRDefault="00997012" w:rsidP="00997012">
            <w:pPr>
              <w:spacing w:before="0"/>
              <w:jc w:val="center"/>
              <w:rPr>
                <w:lang w:val="fr-FR"/>
              </w:rPr>
            </w:pPr>
            <w:r>
              <w:rPr>
                <w:lang w:val="fr-FR"/>
              </w:rPr>
              <w:t>TOTAL Groupe 1</w:t>
            </w:r>
          </w:p>
        </w:tc>
        <w:tc>
          <w:tcPr>
            <w:tcW w:w="992" w:type="dxa"/>
            <w:shd w:val="clear" w:color="auto" w:fill="C6D9F1" w:themeFill="text2" w:themeFillTint="33"/>
          </w:tcPr>
          <w:p w:rsidR="00997012" w:rsidRDefault="00997012" w:rsidP="00F9187E">
            <w:pPr>
              <w:spacing w:before="0"/>
              <w:jc w:val="both"/>
              <w:rPr>
                <w:lang w:val="fr-FR"/>
              </w:rPr>
            </w:pPr>
            <w:r>
              <w:rPr>
                <w:lang w:val="fr-FR"/>
              </w:rPr>
              <w:t>TOTAL Groupe 2</w:t>
            </w:r>
          </w:p>
        </w:tc>
      </w:tr>
      <w:tr w:rsidR="00997012" w:rsidTr="00997012">
        <w:trPr>
          <w:jc w:val="center"/>
        </w:trPr>
        <w:tc>
          <w:tcPr>
            <w:tcW w:w="1341" w:type="dxa"/>
            <w:vAlign w:val="center"/>
          </w:tcPr>
          <w:p w:rsidR="00997012" w:rsidRDefault="00997012" w:rsidP="00997012">
            <w:pPr>
              <w:spacing w:before="0"/>
              <w:rPr>
                <w:lang w:val="fr-FR"/>
              </w:rPr>
            </w:pPr>
            <w:r>
              <w:rPr>
                <w:lang w:val="fr-FR"/>
              </w:rPr>
              <w:t>Marché réfrigérateurs</w:t>
            </w:r>
          </w:p>
        </w:tc>
        <w:tc>
          <w:tcPr>
            <w:tcW w:w="1127" w:type="dxa"/>
            <w:vAlign w:val="center"/>
          </w:tcPr>
          <w:p w:rsidR="00997012" w:rsidRDefault="00997012" w:rsidP="004B64EA">
            <w:pPr>
              <w:tabs>
                <w:tab w:val="decimal" w:pos="636"/>
              </w:tabs>
              <w:spacing w:before="0"/>
              <w:jc w:val="center"/>
              <w:rPr>
                <w:lang w:val="fr-FR"/>
              </w:rPr>
            </w:pPr>
            <w:r>
              <w:rPr>
                <w:lang w:val="fr-FR"/>
              </w:rPr>
              <w:t>11 000</w:t>
            </w:r>
          </w:p>
        </w:tc>
        <w:tc>
          <w:tcPr>
            <w:tcW w:w="1209" w:type="dxa"/>
            <w:vAlign w:val="center"/>
          </w:tcPr>
          <w:p w:rsidR="00997012" w:rsidRDefault="00997012" w:rsidP="004B64EA">
            <w:pPr>
              <w:tabs>
                <w:tab w:val="decimal" w:pos="636"/>
              </w:tabs>
              <w:spacing w:before="0"/>
              <w:jc w:val="center"/>
              <w:rPr>
                <w:lang w:val="fr-FR"/>
              </w:rPr>
            </w:pPr>
            <w:r>
              <w:rPr>
                <w:lang w:val="fr-FR"/>
              </w:rPr>
              <w:t>11 000</w:t>
            </w:r>
          </w:p>
        </w:tc>
        <w:tc>
          <w:tcPr>
            <w:tcW w:w="1109" w:type="dxa"/>
            <w:vAlign w:val="center"/>
          </w:tcPr>
          <w:p w:rsidR="00997012" w:rsidRDefault="00997012" w:rsidP="004B64EA">
            <w:pPr>
              <w:tabs>
                <w:tab w:val="decimal" w:pos="636"/>
              </w:tabs>
              <w:spacing w:before="0"/>
              <w:jc w:val="center"/>
              <w:rPr>
                <w:lang w:val="fr-FR"/>
              </w:rPr>
            </w:pPr>
            <w:r>
              <w:rPr>
                <w:lang w:val="fr-FR"/>
              </w:rPr>
              <w:t>6 600</w:t>
            </w:r>
          </w:p>
        </w:tc>
        <w:tc>
          <w:tcPr>
            <w:tcW w:w="1134" w:type="dxa"/>
            <w:vAlign w:val="center"/>
          </w:tcPr>
          <w:p w:rsidR="00997012" w:rsidRDefault="00997012" w:rsidP="004B64EA">
            <w:pPr>
              <w:tabs>
                <w:tab w:val="decimal" w:pos="636"/>
              </w:tabs>
              <w:spacing w:before="0"/>
              <w:jc w:val="center"/>
              <w:rPr>
                <w:lang w:val="fr-FR"/>
              </w:rPr>
            </w:pPr>
            <w:r>
              <w:rPr>
                <w:lang w:val="fr-FR"/>
              </w:rPr>
              <w:t>19 000</w:t>
            </w:r>
          </w:p>
        </w:tc>
        <w:tc>
          <w:tcPr>
            <w:tcW w:w="1276" w:type="dxa"/>
            <w:vAlign w:val="center"/>
          </w:tcPr>
          <w:p w:rsidR="00997012" w:rsidRDefault="00997012" w:rsidP="004B64EA">
            <w:pPr>
              <w:tabs>
                <w:tab w:val="decimal" w:pos="636"/>
              </w:tabs>
              <w:spacing w:before="0"/>
              <w:jc w:val="center"/>
              <w:rPr>
                <w:lang w:val="fr-FR"/>
              </w:rPr>
            </w:pPr>
            <w:r>
              <w:rPr>
                <w:lang w:val="fr-FR"/>
              </w:rPr>
              <w:t>200</w:t>
            </w:r>
          </w:p>
        </w:tc>
        <w:tc>
          <w:tcPr>
            <w:tcW w:w="992" w:type="dxa"/>
            <w:vAlign w:val="center"/>
          </w:tcPr>
          <w:p w:rsidR="00997012" w:rsidRDefault="00997012" w:rsidP="004B64EA">
            <w:pPr>
              <w:tabs>
                <w:tab w:val="decimal" w:pos="636"/>
              </w:tabs>
              <w:spacing w:before="0"/>
              <w:jc w:val="center"/>
              <w:rPr>
                <w:lang w:val="fr-FR"/>
              </w:rPr>
            </w:pPr>
            <w:r>
              <w:rPr>
                <w:lang w:val="fr-FR"/>
              </w:rPr>
              <w:t>47 800</w:t>
            </w:r>
          </w:p>
        </w:tc>
        <w:tc>
          <w:tcPr>
            <w:tcW w:w="992" w:type="dxa"/>
            <w:vAlign w:val="center"/>
          </w:tcPr>
          <w:p w:rsidR="00997012" w:rsidRDefault="00997012" w:rsidP="004B64EA">
            <w:pPr>
              <w:tabs>
                <w:tab w:val="decimal" w:pos="636"/>
              </w:tabs>
              <w:spacing w:before="0"/>
              <w:jc w:val="center"/>
              <w:rPr>
                <w:lang w:val="fr-FR"/>
              </w:rPr>
            </w:pPr>
            <w:r>
              <w:rPr>
                <w:lang w:val="fr-FR"/>
              </w:rPr>
              <w:t>13 200</w:t>
            </w:r>
          </w:p>
        </w:tc>
      </w:tr>
      <w:tr w:rsidR="00997012" w:rsidTr="00997012">
        <w:trPr>
          <w:jc w:val="center"/>
        </w:trPr>
        <w:tc>
          <w:tcPr>
            <w:tcW w:w="1341" w:type="dxa"/>
            <w:vAlign w:val="center"/>
          </w:tcPr>
          <w:p w:rsidR="00997012" w:rsidRDefault="00997012" w:rsidP="00997012">
            <w:pPr>
              <w:spacing w:before="0"/>
              <w:rPr>
                <w:lang w:val="fr-FR"/>
              </w:rPr>
            </w:pPr>
            <w:r>
              <w:rPr>
                <w:lang w:val="fr-FR"/>
              </w:rPr>
              <w:t>Marchés congélateurs</w:t>
            </w:r>
          </w:p>
        </w:tc>
        <w:tc>
          <w:tcPr>
            <w:tcW w:w="1127" w:type="dxa"/>
            <w:vAlign w:val="center"/>
          </w:tcPr>
          <w:p w:rsidR="00997012" w:rsidRDefault="00997012" w:rsidP="004B64EA">
            <w:pPr>
              <w:tabs>
                <w:tab w:val="decimal" w:pos="636"/>
              </w:tabs>
              <w:spacing w:before="0"/>
              <w:jc w:val="center"/>
              <w:rPr>
                <w:lang w:val="fr-FR"/>
              </w:rPr>
            </w:pPr>
            <w:r>
              <w:rPr>
                <w:lang w:val="fr-FR"/>
              </w:rPr>
              <w:t>9 500</w:t>
            </w:r>
          </w:p>
        </w:tc>
        <w:tc>
          <w:tcPr>
            <w:tcW w:w="1209" w:type="dxa"/>
            <w:vAlign w:val="center"/>
          </w:tcPr>
          <w:p w:rsidR="00997012" w:rsidRDefault="00997012" w:rsidP="004B64EA">
            <w:pPr>
              <w:tabs>
                <w:tab w:val="decimal" w:pos="636"/>
              </w:tabs>
              <w:spacing w:before="0"/>
              <w:jc w:val="center"/>
              <w:rPr>
                <w:lang w:val="fr-FR"/>
              </w:rPr>
            </w:pPr>
            <w:r>
              <w:rPr>
                <w:lang w:val="fr-FR"/>
              </w:rPr>
              <w:t>9 700</w:t>
            </w:r>
          </w:p>
        </w:tc>
        <w:tc>
          <w:tcPr>
            <w:tcW w:w="1109" w:type="dxa"/>
            <w:vAlign w:val="center"/>
          </w:tcPr>
          <w:p w:rsidR="00997012" w:rsidRDefault="00997012" w:rsidP="004B64EA">
            <w:pPr>
              <w:tabs>
                <w:tab w:val="decimal" w:pos="636"/>
              </w:tabs>
              <w:spacing w:before="0"/>
              <w:jc w:val="center"/>
              <w:rPr>
                <w:lang w:val="fr-FR"/>
              </w:rPr>
            </w:pPr>
            <w:r>
              <w:rPr>
                <w:lang w:val="fr-FR"/>
              </w:rPr>
              <w:t>4 700</w:t>
            </w:r>
          </w:p>
        </w:tc>
        <w:tc>
          <w:tcPr>
            <w:tcW w:w="1134" w:type="dxa"/>
            <w:vAlign w:val="center"/>
          </w:tcPr>
          <w:p w:rsidR="00997012" w:rsidRDefault="00997012" w:rsidP="004B64EA">
            <w:pPr>
              <w:tabs>
                <w:tab w:val="decimal" w:pos="636"/>
              </w:tabs>
              <w:spacing w:before="0"/>
              <w:jc w:val="center"/>
              <w:rPr>
                <w:lang w:val="fr-FR"/>
              </w:rPr>
            </w:pPr>
            <w:r>
              <w:rPr>
                <w:lang w:val="fr-FR"/>
              </w:rPr>
              <w:t>12 600</w:t>
            </w:r>
          </w:p>
        </w:tc>
        <w:tc>
          <w:tcPr>
            <w:tcW w:w="1276" w:type="dxa"/>
            <w:vAlign w:val="center"/>
          </w:tcPr>
          <w:p w:rsidR="00997012" w:rsidRDefault="00997012" w:rsidP="004B64EA">
            <w:pPr>
              <w:tabs>
                <w:tab w:val="decimal" w:pos="636"/>
              </w:tabs>
              <w:spacing w:before="0"/>
              <w:jc w:val="center"/>
              <w:rPr>
                <w:lang w:val="fr-FR"/>
              </w:rPr>
            </w:pPr>
            <w:r>
              <w:rPr>
                <w:lang w:val="fr-FR"/>
              </w:rPr>
              <w:t>120</w:t>
            </w:r>
          </w:p>
        </w:tc>
        <w:tc>
          <w:tcPr>
            <w:tcW w:w="992" w:type="dxa"/>
            <w:vAlign w:val="center"/>
          </w:tcPr>
          <w:p w:rsidR="00997012" w:rsidRDefault="00997012" w:rsidP="004B64EA">
            <w:pPr>
              <w:tabs>
                <w:tab w:val="decimal" w:pos="636"/>
              </w:tabs>
              <w:spacing w:before="0"/>
              <w:jc w:val="center"/>
              <w:rPr>
                <w:lang w:val="fr-FR"/>
              </w:rPr>
            </w:pPr>
            <w:r>
              <w:rPr>
                <w:lang w:val="fr-FR"/>
              </w:rPr>
              <w:t>36 600</w:t>
            </w:r>
          </w:p>
        </w:tc>
        <w:tc>
          <w:tcPr>
            <w:tcW w:w="992" w:type="dxa"/>
            <w:vAlign w:val="center"/>
          </w:tcPr>
          <w:p w:rsidR="00997012" w:rsidRDefault="00997012" w:rsidP="004B64EA">
            <w:pPr>
              <w:tabs>
                <w:tab w:val="decimal" w:pos="636"/>
              </w:tabs>
              <w:spacing w:before="0"/>
              <w:jc w:val="center"/>
              <w:rPr>
                <w:lang w:val="fr-FR"/>
              </w:rPr>
            </w:pPr>
          </w:p>
        </w:tc>
      </w:tr>
      <w:tr w:rsidR="00997012" w:rsidTr="00997012">
        <w:trPr>
          <w:jc w:val="center"/>
        </w:trPr>
        <w:tc>
          <w:tcPr>
            <w:tcW w:w="1341" w:type="dxa"/>
            <w:vAlign w:val="center"/>
          </w:tcPr>
          <w:p w:rsidR="00997012" w:rsidRDefault="00997012" w:rsidP="00997012">
            <w:pPr>
              <w:spacing w:before="0"/>
              <w:rPr>
                <w:lang w:val="fr-FR"/>
              </w:rPr>
            </w:pPr>
            <w:r>
              <w:rPr>
                <w:lang w:val="fr-FR"/>
              </w:rPr>
              <w:t>Parc réfrigérateurs</w:t>
            </w:r>
          </w:p>
        </w:tc>
        <w:tc>
          <w:tcPr>
            <w:tcW w:w="1127" w:type="dxa"/>
            <w:vAlign w:val="center"/>
          </w:tcPr>
          <w:p w:rsidR="00997012" w:rsidRDefault="00997012" w:rsidP="004B64EA">
            <w:pPr>
              <w:tabs>
                <w:tab w:val="decimal" w:pos="636"/>
              </w:tabs>
              <w:spacing w:before="0"/>
              <w:jc w:val="center"/>
              <w:rPr>
                <w:lang w:val="fr-FR"/>
              </w:rPr>
            </w:pPr>
            <w:r>
              <w:rPr>
                <w:lang w:val="fr-FR"/>
              </w:rPr>
              <w:t>160 000</w:t>
            </w:r>
          </w:p>
        </w:tc>
        <w:tc>
          <w:tcPr>
            <w:tcW w:w="1209" w:type="dxa"/>
            <w:vAlign w:val="center"/>
          </w:tcPr>
          <w:p w:rsidR="00997012" w:rsidRDefault="00997012" w:rsidP="004B64EA">
            <w:pPr>
              <w:tabs>
                <w:tab w:val="decimal" w:pos="636"/>
              </w:tabs>
              <w:spacing w:before="0"/>
              <w:jc w:val="center"/>
              <w:rPr>
                <w:lang w:val="fr-FR"/>
              </w:rPr>
            </w:pPr>
            <w:r>
              <w:rPr>
                <w:lang w:val="fr-FR"/>
              </w:rPr>
              <w:t>183 000</w:t>
            </w:r>
          </w:p>
        </w:tc>
        <w:tc>
          <w:tcPr>
            <w:tcW w:w="1109" w:type="dxa"/>
            <w:vAlign w:val="center"/>
          </w:tcPr>
          <w:p w:rsidR="00997012" w:rsidRDefault="00997012" w:rsidP="004B64EA">
            <w:pPr>
              <w:tabs>
                <w:tab w:val="decimal" w:pos="636"/>
              </w:tabs>
              <w:spacing w:before="0"/>
              <w:jc w:val="center"/>
              <w:rPr>
                <w:lang w:val="fr-FR"/>
              </w:rPr>
            </w:pPr>
            <w:r>
              <w:rPr>
                <w:lang w:val="fr-FR"/>
              </w:rPr>
              <w:t>65 000</w:t>
            </w:r>
          </w:p>
        </w:tc>
        <w:tc>
          <w:tcPr>
            <w:tcW w:w="1134" w:type="dxa"/>
            <w:vAlign w:val="center"/>
          </w:tcPr>
          <w:p w:rsidR="00997012" w:rsidRDefault="00997012" w:rsidP="004B64EA">
            <w:pPr>
              <w:tabs>
                <w:tab w:val="decimal" w:pos="636"/>
              </w:tabs>
              <w:spacing w:before="0"/>
              <w:jc w:val="center"/>
              <w:rPr>
                <w:lang w:val="fr-FR"/>
              </w:rPr>
            </w:pPr>
            <w:r>
              <w:rPr>
                <w:lang w:val="fr-FR"/>
              </w:rPr>
              <w:t>283 000</w:t>
            </w:r>
          </w:p>
        </w:tc>
        <w:tc>
          <w:tcPr>
            <w:tcW w:w="1276" w:type="dxa"/>
            <w:vAlign w:val="center"/>
          </w:tcPr>
          <w:p w:rsidR="00997012" w:rsidRDefault="00997012" w:rsidP="004B64EA">
            <w:pPr>
              <w:tabs>
                <w:tab w:val="decimal" w:pos="636"/>
              </w:tabs>
              <w:spacing w:before="0"/>
              <w:jc w:val="center"/>
              <w:rPr>
                <w:lang w:val="fr-FR"/>
              </w:rPr>
            </w:pPr>
            <w:r>
              <w:rPr>
                <w:lang w:val="fr-FR"/>
              </w:rPr>
              <w:t>2 600</w:t>
            </w:r>
          </w:p>
        </w:tc>
        <w:tc>
          <w:tcPr>
            <w:tcW w:w="992" w:type="dxa"/>
            <w:vAlign w:val="center"/>
          </w:tcPr>
          <w:p w:rsidR="00997012" w:rsidRDefault="00997012" w:rsidP="004B64EA">
            <w:pPr>
              <w:tabs>
                <w:tab w:val="decimal" w:pos="636"/>
              </w:tabs>
              <w:spacing w:before="0"/>
              <w:jc w:val="center"/>
              <w:rPr>
                <w:lang w:val="fr-FR"/>
              </w:rPr>
            </w:pPr>
            <w:r>
              <w:rPr>
                <w:lang w:val="fr-FR"/>
              </w:rPr>
              <w:t>693 000</w:t>
            </w:r>
          </w:p>
        </w:tc>
        <w:tc>
          <w:tcPr>
            <w:tcW w:w="992" w:type="dxa"/>
            <w:vAlign w:val="center"/>
          </w:tcPr>
          <w:p w:rsidR="00997012" w:rsidRDefault="00327A01" w:rsidP="004B64EA">
            <w:pPr>
              <w:tabs>
                <w:tab w:val="decimal" w:pos="636"/>
              </w:tabs>
              <w:spacing w:before="0"/>
              <w:jc w:val="center"/>
              <w:rPr>
                <w:lang w:val="fr-FR"/>
              </w:rPr>
            </w:pPr>
            <w:r>
              <w:rPr>
                <w:lang w:val="fr-FR"/>
              </w:rPr>
              <w:t>10</w:t>
            </w:r>
            <w:r w:rsidR="00997012">
              <w:rPr>
                <w:lang w:val="fr-FR"/>
              </w:rPr>
              <w:t>1</w:t>
            </w:r>
            <w:r>
              <w:rPr>
                <w:lang w:val="fr-FR"/>
              </w:rPr>
              <w:t xml:space="preserve"> 0</w:t>
            </w:r>
            <w:r w:rsidR="00997012">
              <w:rPr>
                <w:lang w:val="fr-FR"/>
              </w:rPr>
              <w:t>00</w:t>
            </w:r>
          </w:p>
        </w:tc>
      </w:tr>
      <w:tr w:rsidR="00997012" w:rsidTr="00F9187E">
        <w:trPr>
          <w:jc w:val="center"/>
        </w:trPr>
        <w:tc>
          <w:tcPr>
            <w:tcW w:w="1341" w:type="dxa"/>
            <w:vAlign w:val="center"/>
          </w:tcPr>
          <w:p w:rsidR="00997012" w:rsidRDefault="00997012" w:rsidP="00997012">
            <w:pPr>
              <w:spacing w:before="0"/>
              <w:rPr>
                <w:lang w:val="fr-FR"/>
              </w:rPr>
            </w:pPr>
            <w:r>
              <w:rPr>
                <w:lang w:val="fr-FR"/>
              </w:rPr>
              <w:t>Parc congélateurs</w:t>
            </w:r>
          </w:p>
        </w:tc>
        <w:tc>
          <w:tcPr>
            <w:tcW w:w="1127" w:type="dxa"/>
            <w:vAlign w:val="center"/>
          </w:tcPr>
          <w:p w:rsidR="00997012" w:rsidRDefault="00997012" w:rsidP="004B64EA">
            <w:pPr>
              <w:tabs>
                <w:tab w:val="decimal" w:pos="636"/>
              </w:tabs>
              <w:spacing w:before="0"/>
              <w:jc w:val="center"/>
              <w:rPr>
                <w:lang w:val="fr-FR"/>
              </w:rPr>
            </w:pPr>
            <w:r>
              <w:rPr>
                <w:lang w:val="fr-FR"/>
              </w:rPr>
              <w:t>122 000</w:t>
            </w:r>
          </w:p>
        </w:tc>
        <w:tc>
          <w:tcPr>
            <w:tcW w:w="1209" w:type="dxa"/>
            <w:vAlign w:val="center"/>
          </w:tcPr>
          <w:p w:rsidR="00997012" w:rsidRDefault="00997012" w:rsidP="004B64EA">
            <w:pPr>
              <w:tabs>
                <w:tab w:val="decimal" w:pos="636"/>
              </w:tabs>
              <w:spacing w:before="0"/>
              <w:jc w:val="center"/>
              <w:rPr>
                <w:lang w:val="fr-FR"/>
              </w:rPr>
            </w:pPr>
            <w:r>
              <w:rPr>
                <w:lang w:val="fr-FR"/>
              </w:rPr>
              <w:t>139 000</w:t>
            </w:r>
          </w:p>
        </w:tc>
        <w:tc>
          <w:tcPr>
            <w:tcW w:w="1109" w:type="dxa"/>
            <w:vAlign w:val="center"/>
          </w:tcPr>
          <w:p w:rsidR="00997012" w:rsidRDefault="00997012" w:rsidP="004B64EA">
            <w:pPr>
              <w:tabs>
                <w:tab w:val="decimal" w:pos="636"/>
              </w:tabs>
              <w:spacing w:before="0"/>
              <w:jc w:val="center"/>
              <w:rPr>
                <w:lang w:val="fr-FR"/>
              </w:rPr>
            </w:pPr>
            <w:r>
              <w:rPr>
                <w:lang w:val="fr-FR"/>
              </w:rPr>
              <w:t>45 000</w:t>
            </w:r>
          </w:p>
        </w:tc>
        <w:tc>
          <w:tcPr>
            <w:tcW w:w="1134" w:type="dxa"/>
            <w:vAlign w:val="center"/>
          </w:tcPr>
          <w:p w:rsidR="00997012" w:rsidRDefault="00997012" w:rsidP="004B64EA">
            <w:pPr>
              <w:tabs>
                <w:tab w:val="decimal" w:pos="636"/>
              </w:tabs>
              <w:spacing w:before="0"/>
              <w:jc w:val="center"/>
              <w:rPr>
                <w:lang w:val="fr-FR"/>
              </w:rPr>
            </w:pPr>
            <w:r>
              <w:rPr>
                <w:lang w:val="fr-FR"/>
              </w:rPr>
              <w:t>165 000</w:t>
            </w:r>
          </w:p>
        </w:tc>
        <w:tc>
          <w:tcPr>
            <w:tcW w:w="1276" w:type="dxa"/>
            <w:vAlign w:val="center"/>
          </w:tcPr>
          <w:p w:rsidR="00997012" w:rsidRDefault="00997012" w:rsidP="004B64EA">
            <w:pPr>
              <w:tabs>
                <w:tab w:val="decimal" w:pos="636"/>
              </w:tabs>
              <w:spacing w:before="0"/>
              <w:jc w:val="center"/>
              <w:rPr>
                <w:lang w:val="fr-FR"/>
              </w:rPr>
            </w:pPr>
            <w:r>
              <w:rPr>
                <w:lang w:val="fr-FR"/>
              </w:rPr>
              <w:t>1 500</w:t>
            </w:r>
          </w:p>
        </w:tc>
        <w:tc>
          <w:tcPr>
            <w:tcW w:w="992" w:type="dxa"/>
            <w:vAlign w:val="center"/>
          </w:tcPr>
          <w:p w:rsidR="00997012" w:rsidRDefault="00997012" w:rsidP="004B64EA">
            <w:pPr>
              <w:tabs>
                <w:tab w:val="decimal" w:pos="636"/>
              </w:tabs>
              <w:spacing w:before="0"/>
              <w:jc w:val="center"/>
              <w:rPr>
                <w:lang w:val="fr-FR"/>
              </w:rPr>
            </w:pPr>
            <w:r>
              <w:rPr>
                <w:lang w:val="fr-FR"/>
              </w:rPr>
              <w:t>472 000</w:t>
            </w:r>
          </w:p>
        </w:tc>
        <w:tc>
          <w:tcPr>
            <w:tcW w:w="992" w:type="dxa"/>
          </w:tcPr>
          <w:p w:rsidR="00997012" w:rsidRDefault="00997012" w:rsidP="004B64EA">
            <w:pPr>
              <w:tabs>
                <w:tab w:val="decimal" w:pos="636"/>
              </w:tabs>
              <w:spacing w:before="0"/>
              <w:jc w:val="both"/>
              <w:rPr>
                <w:lang w:val="fr-FR"/>
              </w:rPr>
            </w:pPr>
          </w:p>
        </w:tc>
      </w:tr>
    </w:tbl>
    <w:p w:rsidR="00C93BAD" w:rsidRDefault="00997012" w:rsidP="000570D5">
      <w:pPr>
        <w:jc w:val="both"/>
        <w:rPr>
          <w:lang w:val="fr-FR"/>
        </w:rPr>
      </w:pPr>
      <w:r>
        <w:rPr>
          <w:lang w:val="fr-FR"/>
        </w:rPr>
        <w:t>Dans le cas du groupe 2, les données concernant le nombre de personnes par ménage n’ayant pu être obtenues, le marché global du groupe a été calculé au prorata des populations, à partir du résultat du groupe 1.</w:t>
      </w:r>
    </w:p>
    <w:p w:rsidR="00C8316D" w:rsidRPr="00C8316D" w:rsidRDefault="00A43444" w:rsidP="00C8316D">
      <w:pPr>
        <w:pStyle w:val="Titre3"/>
        <w:rPr>
          <w:lang w:val="fr-FR"/>
        </w:rPr>
      </w:pPr>
      <w:bookmarkStart w:id="17" w:name="_Toc310855641"/>
      <w:r>
        <w:rPr>
          <w:lang w:val="fr-FR"/>
        </w:rPr>
        <w:t xml:space="preserve">4.1.2 </w:t>
      </w:r>
      <w:r w:rsidR="00C8316D" w:rsidRPr="00C8316D">
        <w:rPr>
          <w:lang w:val="fr-FR"/>
        </w:rPr>
        <w:t>Froid Commercial</w:t>
      </w:r>
      <w:bookmarkEnd w:id="17"/>
    </w:p>
    <w:p w:rsidR="00282BAC" w:rsidRPr="004B64EA" w:rsidRDefault="00282BAC" w:rsidP="00282BAC">
      <w:pPr>
        <w:rPr>
          <w:rFonts w:cstheme="minorHAnsi"/>
          <w:b/>
          <w:lang w:val="fr-FR"/>
        </w:rPr>
      </w:pPr>
      <w:r w:rsidRPr="004B64EA">
        <w:rPr>
          <w:rFonts w:cstheme="minorHAnsi"/>
          <w:b/>
          <w:lang w:val="fr-FR"/>
        </w:rPr>
        <w:t>Hyper et Supermarchés</w:t>
      </w:r>
    </w:p>
    <w:p w:rsidR="00282BAC" w:rsidRPr="004B64EA" w:rsidRDefault="00282BAC" w:rsidP="00703D0B">
      <w:pPr>
        <w:jc w:val="both"/>
        <w:rPr>
          <w:rFonts w:cstheme="minorHAnsi"/>
          <w:lang w:val="fr-FR"/>
        </w:rPr>
      </w:pPr>
      <w:r w:rsidRPr="004B64EA">
        <w:rPr>
          <w:rFonts w:cstheme="minorHAnsi"/>
          <w:lang w:val="fr-FR"/>
        </w:rPr>
        <w:t xml:space="preserve">A la suite d’une demande </w:t>
      </w:r>
      <w:r w:rsidR="001774EC" w:rsidRPr="004B64EA">
        <w:rPr>
          <w:rFonts w:cstheme="minorHAnsi"/>
          <w:lang w:val="fr-FR"/>
        </w:rPr>
        <w:t>spécifique du CEP, LSA a fourni</w:t>
      </w:r>
      <w:r w:rsidRPr="004B64EA">
        <w:rPr>
          <w:rFonts w:cstheme="minorHAnsi"/>
          <w:lang w:val="fr-FR"/>
        </w:rPr>
        <w:t xml:space="preserve"> plusieurs informations sur les </w:t>
      </w:r>
      <w:r w:rsidR="00D7598B" w:rsidRPr="004B64EA">
        <w:rPr>
          <w:rFonts w:cstheme="minorHAnsi"/>
          <w:lang w:val="fr-FR"/>
        </w:rPr>
        <w:t>parcs</w:t>
      </w:r>
      <w:r w:rsidRPr="004B64EA">
        <w:rPr>
          <w:rFonts w:cstheme="minorHAnsi"/>
          <w:lang w:val="fr-FR"/>
        </w:rPr>
        <w:t xml:space="preserve"> de magasins et surfaces moyennes, avec des données plus détaillées concernant la Réunion</w:t>
      </w:r>
      <w:r w:rsidR="00D7598B" w:rsidRPr="004B64EA">
        <w:rPr>
          <w:rFonts w:cstheme="minorHAnsi"/>
          <w:lang w:val="fr-FR"/>
        </w:rPr>
        <w:t xml:space="preserve"> retraçant les ouvertures de magasins sur le passé [LSA11]</w:t>
      </w:r>
      <w:r w:rsidRPr="004B64EA">
        <w:rPr>
          <w:rFonts w:cstheme="minorHAnsi"/>
          <w:lang w:val="fr-FR"/>
        </w:rPr>
        <w:t>. Cependant, il convient de noter certains écarts avec leurs propres données publiées</w:t>
      </w:r>
      <w:r w:rsidR="001774EC" w:rsidRPr="004B64EA">
        <w:rPr>
          <w:rFonts w:cstheme="minorHAnsi"/>
          <w:lang w:val="fr-FR"/>
        </w:rPr>
        <w:t xml:space="preserve"> [LSA10</w:t>
      </w:r>
      <w:r w:rsidR="00623AAD" w:rsidRPr="004B64EA">
        <w:rPr>
          <w:rFonts w:cstheme="minorHAnsi"/>
          <w:lang w:val="fr-FR"/>
        </w:rPr>
        <w:t>]</w:t>
      </w:r>
      <w:r w:rsidRPr="004B64EA">
        <w:rPr>
          <w:rFonts w:cstheme="minorHAnsi"/>
          <w:lang w:val="fr-FR"/>
        </w:rPr>
        <w:t xml:space="preserve">. Il semble que des fermetures fréquentes </w:t>
      </w:r>
      <w:r w:rsidR="00623AAD" w:rsidRPr="004B64EA">
        <w:rPr>
          <w:rFonts w:cstheme="minorHAnsi"/>
          <w:lang w:val="fr-FR"/>
        </w:rPr>
        <w:t xml:space="preserve">et soudaines </w:t>
      </w:r>
      <w:r w:rsidRPr="004B64EA">
        <w:rPr>
          <w:rFonts w:cstheme="minorHAnsi"/>
          <w:lang w:val="fr-FR"/>
        </w:rPr>
        <w:t xml:space="preserve">de magasins </w:t>
      </w:r>
      <w:r w:rsidR="00623AAD" w:rsidRPr="004B64EA">
        <w:rPr>
          <w:rFonts w:cstheme="minorHAnsi"/>
          <w:lang w:val="fr-FR"/>
        </w:rPr>
        <w:t>pourraient expliquer</w:t>
      </w:r>
      <w:r w:rsidR="00703D0B" w:rsidRPr="004B64EA">
        <w:rPr>
          <w:rFonts w:cstheme="minorHAnsi"/>
          <w:lang w:val="fr-FR"/>
        </w:rPr>
        <w:t xml:space="preserve"> l’écart entre les différentes communications.</w:t>
      </w:r>
      <w:r w:rsidR="00623AAD" w:rsidRPr="004B64EA">
        <w:rPr>
          <w:rFonts w:cstheme="minorHAnsi"/>
          <w:lang w:val="fr-FR"/>
        </w:rPr>
        <w:t xml:space="preserve"> Diverses sources ont été trouvées pour les territoires du groupe 2 ([SOD11], [WAL11]).</w:t>
      </w:r>
    </w:p>
    <w:p w:rsidR="00D7598B" w:rsidRPr="00AE1334" w:rsidRDefault="00D7598B" w:rsidP="00D7598B">
      <w:pPr>
        <w:pStyle w:val="Sous-titre"/>
        <w:spacing w:after="100"/>
        <w:jc w:val="center"/>
        <w:rPr>
          <w:sz w:val="20"/>
          <w:szCs w:val="20"/>
          <w:lang w:val="fr-FR"/>
        </w:rPr>
      </w:pPr>
      <w:r>
        <w:rPr>
          <w:lang w:val="fr-FR"/>
        </w:rPr>
        <w:t>Tableau 6</w:t>
      </w:r>
      <w:r w:rsidRPr="00C8316D">
        <w:rPr>
          <w:lang w:val="fr-FR"/>
        </w:rPr>
        <w:t xml:space="preserve"> – </w:t>
      </w:r>
      <w:r>
        <w:rPr>
          <w:lang w:val="fr-FR"/>
        </w:rPr>
        <w:t>parcs de supermerches et hypermarches en 2010</w:t>
      </w:r>
    </w:p>
    <w:tbl>
      <w:tblPr>
        <w:tblW w:w="5246" w:type="dxa"/>
        <w:jc w:val="center"/>
        <w:tblInd w:w="-369" w:type="dxa"/>
        <w:tblCellMar>
          <w:left w:w="70" w:type="dxa"/>
          <w:right w:w="70" w:type="dxa"/>
        </w:tblCellMar>
        <w:tblLook w:val="04A0"/>
      </w:tblPr>
      <w:tblGrid>
        <w:gridCol w:w="2384"/>
        <w:gridCol w:w="1441"/>
        <w:gridCol w:w="1421"/>
      </w:tblGrid>
      <w:tr w:rsidR="00D7598B" w:rsidRPr="00D7598B" w:rsidTr="00B137E2">
        <w:trPr>
          <w:trHeight w:val="300"/>
          <w:jc w:val="center"/>
        </w:trPr>
        <w:tc>
          <w:tcPr>
            <w:tcW w:w="2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8B" w:rsidRPr="00D7598B" w:rsidRDefault="00B137E2" w:rsidP="00D7598B">
            <w:pPr>
              <w:spacing w:before="0" w:after="0" w:line="240" w:lineRule="auto"/>
              <w:rPr>
                <w:rFonts w:ascii="Calibri" w:eastAsia="Times New Roman" w:hAnsi="Calibri" w:cs="Calibri"/>
                <w:b/>
                <w:bCs/>
                <w:color w:val="000000"/>
                <w:sz w:val="22"/>
                <w:szCs w:val="22"/>
                <w:lang w:val="fr-FR" w:eastAsia="fr-FR" w:bidi="ar-SA"/>
              </w:rPr>
            </w:pPr>
            <w:r>
              <w:rPr>
                <w:rFonts w:ascii="Calibri" w:eastAsia="Times New Roman" w:hAnsi="Calibri" w:cs="Calibri"/>
                <w:b/>
                <w:bCs/>
                <w:color w:val="000000"/>
                <w:sz w:val="22"/>
                <w:szCs w:val="22"/>
                <w:lang w:val="fr-FR" w:eastAsia="fr-FR" w:bidi="ar-SA"/>
              </w:rPr>
              <w:t>Parc de magasins</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Hyper</w:t>
            </w:r>
            <w:r>
              <w:rPr>
                <w:rFonts w:ascii="Calibri" w:eastAsia="Times New Roman" w:hAnsi="Calibri" w:cs="Calibri"/>
                <w:color w:val="000000"/>
                <w:sz w:val="22"/>
                <w:szCs w:val="22"/>
                <w:lang w:val="fr-FR" w:eastAsia="fr-FR" w:bidi="ar-SA"/>
              </w:rPr>
              <w:t>marchés</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Super</w:t>
            </w:r>
            <w:r>
              <w:rPr>
                <w:rFonts w:ascii="Calibri" w:eastAsia="Times New Roman" w:hAnsi="Calibri" w:cs="Calibri"/>
                <w:color w:val="000000"/>
                <w:sz w:val="22"/>
                <w:szCs w:val="22"/>
                <w:lang w:val="fr-FR" w:eastAsia="fr-FR" w:bidi="ar-SA"/>
              </w:rPr>
              <w:t>marchés</w:t>
            </w:r>
          </w:p>
        </w:tc>
      </w:tr>
      <w:tr w:rsidR="00D7598B" w:rsidRPr="00D7598B" w:rsidTr="00B137E2">
        <w:trPr>
          <w:trHeight w:val="300"/>
          <w:jc w:val="center"/>
        </w:trPr>
        <w:tc>
          <w:tcPr>
            <w:tcW w:w="2384" w:type="dxa"/>
            <w:tcBorders>
              <w:top w:val="nil"/>
              <w:left w:val="single" w:sz="4" w:space="0" w:color="auto"/>
              <w:bottom w:val="single" w:sz="4" w:space="0" w:color="auto"/>
              <w:right w:val="single" w:sz="4" w:space="0" w:color="auto"/>
            </w:tcBorders>
            <w:shd w:val="clear" w:color="auto" w:fill="auto"/>
            <w:noWrap/>
            <w:vAlign w:val="bottom"/>
            <w:hideMark/>
          </w:tcPr>
          <w:p w:rsidR="00D7598B" w:rsidRPr="00D7598B" w:rsidRDefault="00D7598B" w:rsidP="00D7598B">
            <w:pPr>
              <w:spacing w:before="0" w:after="0" w:line="240" w:lineRule="auto"/>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Guadeloupe</w:t>
            </w:r>
          </w:p>
        </w:tc>
        <w:tc>
          <w:tcPr>
            <w:tcW w:w="1441" w:type="dxa"/>
            <w:tcBorders>
              <w:top w:val="nil"/>
              <w:left w:val="nil"/>
              <w:bottom w:val="single" w:sz="4" w:space="0" w:color="auto"/>
              <w:right w:val="single" w:sz="4" w:space="0" w:color="auto"/>
            </w:tcBorders>
            <w:shd w:val="clear" w:color="auto" w:fill="C6D9F1" w:themeFill="text2" w:themeFillTint="33"/>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4</w:t>
            </w:r>
          </w:p>
        </w:tc>
        <w:tc>
          <w:tcPr>
            <w:tcW w:w="1421" w:type="dxa"/>
            <w:tcBorders>
              <w:top w:val="nil"/>
              <w:left w:val="nil"/>
              <w:bottom w:val="single" w:sz="4" w:space="0" w:color="auto"/>
              <w:right w:val="single" w:sz="4" w:space="0" w:color="auto"/>
            </w:tcBorders>
            <w:shd w:val="clear" w:color="auto" w:fill="C6D9F1" w:themeFill="text2" w:themeFillTint="33"/>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20</w:t>
            </w:r>
          </w:p>
        </w:tc>
      </w:tr>
      <w:tr w:rsidR="00D7598B" w:rsidRPr="00D7598B" w:rsidTr="00B137E2">
        <w:trPr>
          <w:trHeight w:val="300"/>
          <w:jc w:val="center"/>
        </w:trPr>
        <w:tc>
          <w:tcPr>
            <w:tcW w:w="2384" w:type="dxa"/>
            <w:tcBorders>
              <w:top w:val="nil"/>
              <w:left w:val="single" w:sz="4" w:space="0" w:color="auto"/>
              <w:bottom w:val="single" w:sz="4" w:space="0" w:color="auto"/>
              <w:right w:val="single" w:sz="4" w:space="0" w:color="auto"/>
            </w:tcBorders>
            <w:shd w:val="clear" w:color="auto" w:fill="auto"/>
            <w:noWrap/>
            <w:vAlign w:val="bottom"/>
            <w:hideMark/>
          </w:tcPr>
          <w:p w:rsidR="00D7598B" w:rsidRPr="00D7598B" w:rsidRDefault="00D7598B" w:rsidP="00D7598B">
            <w:pPr>
              <w:spacing w:before="0" w:after="0" w:line="240" w:lineRule="auto"/>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Martinique</w:t>
            </w:r>
          </w:p>
        </w:tc>
        <w:tc>
          <w:tcPr>
            <w:tcW w:w="1441" w:type="dxa"/>
            <w:tcBorders>
              <w:top w:val="nil"/>
              <w:left w:val="nil"/>
              <w:bottom w:val="single" w:sz="4" w:space="0" w:color="auto"/>
              <w:right w:val="single" w:sz="4" w:space="0" w:color="auto"/>
            </w:tcBorders>
            <w:shd w:val="clear" w:color="auto" w:fill="C6D9F1" w:themeFill="text2" w:themeFillTint="33"/>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6</w:t>
            </w:r>
          </w:p>
        </w:tc>
        <w:tc>
          <w:tcPr>
            <w:tcW w:w="1421" w:type="dxa"/>
            <w:tcBorders>
              <w:top w:val="nil"/>
              <w:left w:val="nil"/>
              <w:bottom w:val="single" w:sz="4" w:space="0" w:color="auto"/>
              <w:right w:val="single" w:sz="4" w:space="0" w:color="auto"/>
            </w:tcBorders>
            <w:shd w:val="clear" w:color="auto" w:fill="C6D9F1" w:themeFill="text2" w:themeFillTint="33"/>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10</w:t>
            </w:r>
          </w:p>
        </w:tc>
      </w:tr>
      <w:tr w:rsidR="00D7598B" w:rsidRPr="00D7598B" w:rsidTr="00B137E2">
        <w:trPr>
          <w:trHeight w:val="300"/>
          <w:jc w:val="center"/>
        </w:trPr>
        <w:tc>
          <w:tcPr>
            <w:tcW w:w="2384" w:type="dxa"/>
            <w:tcBorders>
              <w:top w:val="nil"/>
              <w:left w:val="single" w:sz="4" w:space="0" w:color="auto"/>
              <w:bottom w:val="single" w:sz="4" w:space="0" w:color="auto"/>
              <w:right w:val="single" w:sz="4" w:space="0" w:color="auto"/>
            </w:tcBorders>
            <w:shd w:val="clear" w:color="auto" w:fill="auto"/>
            <w:noWrap/>
            <w:vAlign w:val="bottom"/>
            <w:hideMark/>
          </w:tcPr>
          <w:p w:rsidR="00D7598B" w:rsidRPr="00D7598B" w:rsidRDefault="00D7598B" w:rsidP="00D7598B">
            <w:pPr>
              <w:spacing w:before="0" w:after="0" w:line="240" w:lineRule="auto"/>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Guyane</w:t>
            </w:r>
          </w:p>
        </w:tc>
        <w:tc>
          <w:tcPr>
            <w:tcW w:w="1441" w:type="dxa"/>
            <w:tcBorders>
              <w:top w:val="nil"/>
              <w:left w:val="nil"/>
              <w:bottom w:val="single" w:sz="4" w:space="0" w:color="auto"/>
              <w:right w:val="single" w:sz="4" w:space="0" w:color="auto"/>
            </w:tcBorders>
            <w:shd w:val="clear" w:color="auto" w:fill="C6D9F1" w:themeFill="text2" w:themeFillTint="33"/>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3</w:t>
            </w:r>
          </w:p>
        </w:tc>
        <w:tc>
          <w:tcPr>
            <w:tcW w:w="1421" w:type="dxa"/>
            <w:tcBorders>
              <w:top w:val="nil"/>
              <w:left w:val="nil"/>
              <w:bottom w:val="single" w:sz="4" w:space="0" w:color="auto"/>
              <w:right w:val="single" w:sz="4" w:space="0" w:color="auto"/>
            </w:tcBorders>
            <w:shd w:val="clear" w:color="auto" w:fill="C6D9F1" w:themeFill="text2" w:themeFillTint="33"/>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2</w:t>
            </w:r>
          </w:p>
        </w:tc>
      </w:tr>
      <w:tr w:rsidR="00D7598B" w:rsidRPr="00D7598B" w:rsidTr="00B137E2">
        <w:trPr>
          <w:trHeight w:val="300"/>
          <w:jc w:val="center"/>
        </w:trPr>
        <w:tc>
          <w:tcPr>
            <w:tcW w:w="2384" w:type="dxa"/>
            <w:tcBorders>
              <w:top w:val="nil"/>
              <w:left w:val="single" w:sz="4" w:space="0" w:color="auto"/>
              <w:bottom w:val="single" w:sz="4" w:space="0" w:color="auto"/>
              <w:right w:val="single" w:sz="4" w:space="0" w:color="auto"/>
            </w:tcBorders>
            <w:shd w:val="clear" w:color="auto" w:fill="auto"/>
            <w:noWrap/>
            <w:vAlign w:val="bottom"/>
            <w:hideMark/>
          </w:tcPr>
          <w:p w:rsidR="00D7598B" w:rsidRPr="00D7598B" w:rsidRDefault="00D7598B" w:rsidP="00D7598B">
            <w:pPr>
              <w:spacing w:before="0" w:after="0" w:line="240" w:lineRule="auto"/>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Réunion</w:t>
            </w:r>
          </w:p>
        </w:tc>
        <w:tc>
          <w:tcPr>
            <w:tcW w:w="1441" w:type="dxa"/>
            <w:tcBorders>
              <w:top w:val="nil"/>
              <w:left w:val="nil"/>
              <w:bottom w:val="single" w:sz="4" w:space="0" w:color="auto"/>
              <w:right w:val="single" w:sz="4" w:space="0" w:color="auto"/>
            </w:tcBorders>
            <w:shd w:val="clear" w:color="auto" w:fill="C6D9F1" w:themeFill="text2" w:themeFillTint="33"/>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19</w:t>
            </w:r>
          </w:p>
        </w:tc>
        <w:tc>
          <w:tcPr>
            <w:tcW w:w="1421" w:type="dxa"/>
            <w:tcBorders>
              <w:top w:val="nil"/>
              <w:left w:val="nil"/>
              <w:bottom w:val="single" w:sz="4" w:space="0" w:color="auto"/>
              <w:right w:val="single" w:sz="4" w:space="0" w:color="auto"/>
            </w:tcBorders>
            <w:shd w:val="clear" w:color="auto" w:fill="C6D9F1" w:themeFill="text2" w:themeFillTint="33"/>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63</w:t>
            </w:r>
          </w:p>
        </w:tc>
      </w:tr>
      <w:tr w:rsidR="00B137E2" w:rsidRPr="00D7598B" w:rsidTr="00B137E2">
        <w:trPr>
          <w:trHeight w:val="300"/>
          <w:jc w:val="center"/>
        </w:trPr>
        <w:tc>
          <w:tcPr>
            <w:tcW w:w="2384" w:type="dxa"/>
            <w:tcBorders>
              <w:top w:val="nil"/>
              <w:left w:val="single" w:sz="4" w:space="0" w:color="auto"/>
              <w:bottom w:val="single" w:sz="4" w:space="0" w:color="auto"/>
              <w:right w:val="single" w:sz="4" w:space="0" w:color="auto"/>
            </w:tcBorders>
            <w:shd w:val="clear" w:color="auto" w:fill="auto"/>
            <w:noWrap/>
            <w:vAlign w:val="bottom"/>
            <w:hideMark/>
          </w:tcPr>
          <w:p w:rsidR="00B137E2" w:rsidRPr="00D7598B" w:rsidRDefault="00B137E2" w:rsidP="00D7598B">
            <w:pPr>
              <w:spacing w:before="0" w:after="0" w:line="240" w:lineRule="auto"/>
              <w:rPr>
                <w:rFonts w:ascii="Calibri" w:eastAsia="Times New Roman" w:hAnsi="Calibri" w:cs="Calibri"/>
                <w:color w:val="000000"/>
                <w:sz w:val="22"/>
                <w:szCs w:val="22"/>
                <w:lang w:val="fr-FR" w:eastAsia="fr-FR" w:bidi="ar-SA"/>
              </w:rPr>
            </w:pPr>
            <w:r>
              <w:rPr>
                <w:rFonts w:ascii="Calibri" w:eastAsia="Times New Roman" w:hAnsi="Calibri" w:cs="Calibri"/>
                <w:color w:val="000000"/>
                <w:sz w:val="22"/>
                <w:szCs w:val="22"/>
                <w:lang w:val="fr-FR" w:eastAsia="fr-FR" w:bidi="ar-SA"/>
              </w:rPr>
              <w:t>St Pierre et Miquelon</w:t>
            </w:r>
          </w:p>
        </w:tc>
        <w:tc>
          <w:tcPr>
            <w:tcW w:w="1441" w:type="dxa"/>
            <w:tcBorders>
              <w:top w:val="nil"/>
              <w:left w:val="nil"/>
              <w:bottom w:val="single" w:sz="4" w:space="0" w:color="auto"/>
              <w:right w:val="single" w:sz="4" w:space="0" w:color="auto"/>
            </w:tcBorders>
            <w:shd w:val="clear" w:color="auto" w:fill="auto"/>
            <w:noWrap/>
            <w:vAlign w:val="bottom"/>
            <w:hideMark/>
          </w:tcPr>
          <w:p w:rsidR="00B137E2" w:rsidRPr="00D7598B" w:rsidRDefault="00B137E2" w:rsidP="00D7598B">
            <w:pPr>
              <w:spacing w:before="0" w:after="0" w:line="240" w:lineRule="auto"/>
              <w:jc w:val="center"/>
              <w:rPr>
                <w:rFonts w:ascii="Calibri" w:eastAsia="Times New Roman" w:hAnsi="Calibri" w:cs="Calibri"/>
                <w:color w:val="000000"/>
                <w:sz w:val="22"/>
                <w:szCs w:val="22"/>
                <w:lang w:val="fr-FR" w:eastAsia="fr-FR" w:bidi="ar-SA"/>
              </w:rPr>
            </w:pPr>
            <w:r>
              <w:rPr>
                <w:rFonts w:ascii="Calibri" w:eastAsia="Times New Roman" w:hAnsi="Calibri" w:cs="Calibri"/>
                <w:color w:val="000000"/>
                <w:sz w:val="22"/>
                <w:szCs w:val="22"/>
                <w:lang w:val="fr-FR" w:eastAsia="fr-FR" w:bidi="ar-SA"/>
              </w:rPr>
              <w:t>0</w:t>
            </w:r>
          </w:p>
        </w:tc>
        <w:tc>
          <w:tcPr>
            <w:tcW w:w="1421" w:type="dxa"/>
            <w:tcBorders>
              <w:top w:val="nil"/>
              <w:left w:val="nil"/>
              <w:bottom w:val="single" w:sz="4" w:space="0" w:color="auto"/>
              <w:right w:val="single" w:sz="4" w:space="0" w:color="auto"/>
            </w:tcBorders>
            <w:shd w:val="clear" w:color="auto" w:fill="auto"/>
            <w:noWrap/>
            <w:vAlign w:val="bottom"/>
            <w:hideMark/>
          </w:tcPr>
          <w:p w:rsidR="00B137E2" w:rsidRPr="00D7598B" w:rsidRDefault="001774EC" w:rsidP="00D7598B">
            <w:pPr>
              <w:spacing w:before="0" w:after="0" w:line="240" w:lineRule="auto"/>
              <w:jc w:val="center"/>
              <w:rPr>
                <w:rFonts w:ascii="Calibri" w:eastAsia="Times New Roman" w:hAnsi="Calibri" w:cs="Calibri"/>
                <w:color w:val="000000"/>
                <w:sz w:val="22"/>
                <w:szCs w:val="22"/>
                <w:lang w:val="fr-FR" w:eastAsia="fr-FR" w:bidi="ar-SA"/>
              </w:rPr>
            </w:pPr>
            <w:r>
              <w:rPr>
                <w:rFonts w:ascii="Calibri" w:eastAsia="Times New Roman" w:hAnsi="Calibri" w:cs="Calibri"/>
                <w:color w:val="000000"/>
                <w:sz w:val="22"/>
                <w:szCs w:val="22"/>
                <w:lang w:val="fr-FR" w:eastAsia="fr-FR" w:bidi="ar-SA"/>
              </w:rPr>
              <w:t>0</w:t>
            </w:r>
          </w:p>
        </w:tc>
      </w:tr>
      <w:tr w:rsidR="00D7598B" w:rsidRPr="00D7598B" w:rsidTr="00B137E2">
        <w:trPr>
          <w:trHeight w:val="300"/>
          <w:jc w:val="center"/>
        </w:trPr>
        <w:tc>
          <w:tcPr>
            <w:tcW w:w="2384" w:type="dxa"/>
            <w:tcBorders>
              <w:top w:val="nil"/>
              <w:left w:val="single" w:sz="4" w:space="0" w:color="auto"/>
              <w:bottom w:val="single" w:sz="4" w:space="0" w:color="auto"/>
              <w:right w:val="single" w:sz="4" w:space="0" w:color="auto"/>
            </w:tcBorders>
            <w:shd w:val="clear" w:color="auto" w:fill="auto"/>
            <w:noWrap/>
            <w:vAlign w:val="bottom"/>
            <w:hideMark/>
          </w:tcPr>
          <w:p w:rsidR="00D7598B" w:rsidRPr="00D7598B" w:rsidRDefault="00D7598B" w:rsidP="00D7598B">
            <w:pPr>
              <w:spacing w:before="0" w:after="0" w:line="240" w:lineRule="auto"/>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Polynésie Française</w:t>
            </w:r>
          </w:p>
        </w:tc>
        <w:tc>
          <w:tcPr>
            <w:tcW w:w="1441" w:type="dxa"/>
            <w:tcBorders>
              <w:top w:val="nil"/>
              <w:left w:val="nil"/>
              <w:bottom w:val="single" w:sz="4" w:space="0" w:color="auto"/>
              <w:right w:val="single" w:sz="4" w:space="0" w:color="auto"/>
            </w:tcBorders>
            <w:shd w:val="clear" w:color="auto" w:fill="C6D9F1" w:themeFill="text2" w:themeFillTint="33"/>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3</w:t>
            </w:r>
          </w:p>
        </w:tc>
        <w:tc>
          <w:tcPr>
            <w:tcW w:w="1421" w:type="dxa"/>
            <w:tcBorders>
              <w:top w:val="nil"/>
              <w:left w:val="nil"/>
              <w:bottom w:val="single" w:sz="4" w:space="0" w:color="auto"/>
              <w:right w:val="single" w:sz="4" w:space="0" w:color="auto"/>
            </w:tcBorders>
            <w:shd w:val="clear" w:color="auto" w:fill="C6D9F1" w:themeFill="text2" w:themeFillTint="33"/>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4</w:t>
            </w:r>
          </w:p>
        </w:tc>
      </w:tr>
      <w:tr w:rsidR="00D7598B" w:rsidRPr="00D7598B" w:rsidTr="00B137E2">
        <w:trPr>
          <w:trHeight w:val="300"/>
          <w:jc w:val="center"/>
        </w:trPr>
        <w:tc>
          <w:tcPr>
            <w:tcW w:w="2384" w:type="dxa"/>
            <w:tcBorders>
              <w:top w:val="nil"/>
              <w:left w:val="single" w:sz="4" w:space="0" w:color="auto"/>
              <w:bottom w:val="single" w:sz="4" w:space="0" w:color="auto"/>
              <w:right w:val="single" w:sz="4" w:space="0" w:color="auto"/>
            </w:tcBorders>
            <w:shd w:val="clear" w:color="auto" w:fill="auto"/>
            <w:noWrap/>
            <w:vAlign w:val="bottom"/>
            <w:hideMark/>
          </w:tcPr>
          <w:p w:rsidR="00D7598B" w:rsidRPr="00D7598B" w:rsidRDefault="00D7598B" w:rsidP="00D7598B">
            <w:pPr>
              <w:spacing w:before="0" w:after="0" w:line="240" w:lineRule="auto"/>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Nouvelle Calédonie</w:t>
            </w:r>
          </w:p>
        </w:tc>
        <w:tc>
          <w:tcPr>
            <w:tcW w:w="1441" w:type="dxa"/>
            <w:tcBorders>
              <w:top w:val="nil"/>
              <w:left w:val="nil"/>
              <w:bottom w:val="single" w:sz="4" w:space="0" w:color="auto"/>
              <w:right w:val="single" w:sz="4" w:space="0" w:color="auto"/>
            </w:tcBorders>
            <w:shd w:val="clear" w:color="auto" w:fill="C6D9F1" w:themeFill="text2" w:themeFillTint="33"/>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1</w:t>
            </w:r>
          </w:p>
        </w:tc>
        <w:tc>
          <w:tcPr>
            <w:tcW w:w="1421" w:type="dxa"/>
            <w:tcBorders>
              <w:top w:val="nil"/>
              <w:left w:val="nil"/>
              <w:bottom w:val="single" w:sz="4" w:space="0" w:color="auto"/>
              <w:right w:val="single" w:sz="4" w:space="0" w:color="auto"/>
            </w:tcBorders>
            <w:shd w:val="clear" w:color="auto" w:fill="C6D9F1" w:themeFill="text2" w:themeFillTint="33"/>
            <w:noWrap/>
            <w:vAlign w:val="bottom"/>
            <w:hideMark/>
          </w:tcPr>
          <w:p w:rsidR="00D7598B" w:rsidRPr="00D7598B" w:rsidRDefault="00D7598B" w:rsidP="00D7598B">
            <w:pPr>
              <w:spacing w:before="0" w:after="0" w:line="240" w:lineRule="auto"/>
              <w:jc w:val="center"/>
              <w:rPr>
                <w:rFonts w:ascii="Calibri" w:eastAsia="Times New Roman" w:hAnsi="Calibri" w:cs="Calibri"/>
                <w:color w:val="000000"/>
                <w:sz w:val="22"/>
                <w:szCs w:val="22"/>
                <w:lang w:val="fr-FR" w:eastAsia="fr-FR" w:bidi="ar-SA"/>
              </w:rPr>
            </w:pPr>
            <w:r w:rsidRPr="00D7598B">
              <w:rPr>
                <w:rFonts w:ascii="Calibri" w:eastAsia="Times New Roman" w:hAnsi="Calibri" w:cs="Calibri"/>
                <w:color w:val="000000"/>
                <w:sz w:val="22"/>
                <w:szCs w:val="22"/>
                <w:lang w:val="fr-FR" w:eastAsia="fr-FR" w:bidi="ar-SA"/>
              </w:rPr>
              <w:t>10</w:t>
            </w:r>
          </w:p>
        </w:tc>
      </w:tr>
      <w:tr w:rsidR="00623AAD" w:rsidRPr="00D7598B" w:rsidTr="00B137E2">
        <w:trPr>
          <w:trHeight w:val="300"/>
          <w:jc w:val="center"/>
        </w:trPr>
        <w:tc>
          <w:tcPr>
            <w:tcW w:w="2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AAD" w:rsidRPr="00D7598B" w:rsidRDefault="00623AAD" w:rsidP="00D7598B">
            <w:pPr>
              <w:spacing w:before="0" w:after="0" w:line="240" w:lineRule="auto"/>
              <w:rPr>
                <w:rFonts w:ascii="Calibri" w:eastAsia="Times New Roman" w:hAnsi="Calibri" w:cs="Calibri"/>
                <w:color w:val="000000"/>
                <w:sz w:val="22"/>
                <w:szCs w:val="22"/>
                <w:lang w:val="fr-FR" w:eastAsia="fr-FR" w:bidi="ar-SA"/>
              </w:rPr>
            </w:pPr>
            <w:r>
              <w:rPr>
                <w:rFonts w:ascii="Calibri" w:eastAsia="Times New Roman" w:hAnsi="Calibri" w:cs="Calibri"/>
                <w:color w:val="000000"/>
                <w:sz w:val="22"/>
                <w:szCs w:val="22"/>
                <w:lang w:val="fr-FR" w:eastAsia="fr-FR" w:bidi="ar-SA"/>
              </w:rPr>
              <w:t>Mayotte</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623AAD" w:rsidRPr="00D7598B" w:rsidRDefault="00623AAD" w:rsidP="00D7598B">
            <w:pPr>
              <w:spacing w:before="0" w:after="0" w:line="240" w:lineRule="auto"/>
              <w:jc w:val="center"/>
              <w:rPr>
                <w:rFonts w:ascii="Calibri" w:eastAsia="Times New Roman" w:hAnsi="Calibri" w:cs="Calibri"/>
                <w:color w:val="000000"/>
                <w:sz w:val="22"/>
                <w:szCs w:val="22"/>
                <w:lang w:val="fr-FR" w:eastAsia="fr-FR" w:bidi="ar-SA"/>
              </w:rPr>
            </w:pPr>
            <w:r>
              <w:rPr>
                <w:rFonts w:ascii="Calibri" w:eastAsia="Times New Roman" w:hAnsi="Calibri" w:cs="Calibri"/>
                <w:color w:val="000000"/>
                <w:sz w:val="22"/>
                <w:szCs w:val="22"/>
                <w:lang w:val="fr-FR" w:eastAsia="fr-FR" w:bidi="ar-SA"/>
              </w:rPr>
              <w:t>1</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623AAD" w:rsidRPr="00D7598B" w:rsidRDefault="00623AAD" w:rsidP="00D7598B">
            <w:pPr>
              <w:spacing w:before="0" w:after="0" w:line="240" w:lineRule="auto"/>
              <w:jc w:val="center"/>
              <w:rPr>
                <w:rFonts w:ascii="Calibri" w:eastAsia="Times New Roman" w:hAnsi="Calibri" w:cs="Calibri"/>
                <w:color w:val="000000"/>
                <w:sz w:val="22"/>
                <w:szCs w:val="22"/>
                <w:lang w:val="fr-FR" w:eastAsia="fr-FR" w:bidi="ar-SA"/>
              </w:rPr>
            </w:pPr>
            <w:r>
              <w:rPr>
                <w:rFonts w:ascii="Calibri" w:eastAsia="Times New Roman" w:hAnsi="Calibri" w:cs="Calibri"/>
                <w:color w:val="000000"/>
                <w:sz w:val="22"/>
                <w:szCs w:val="22"/>
                <w:lang w:val="fr-FR" w:eastAsia="fr-FR" w:bidi="ar-SA"/>
              </w:rPr>
              <w:t>6</w:t>
            </w:r>
          </w:p>
        </w:tc>
      </w:tr>
      <w:tr w:rsidR="00623AAD" w:rsidRPr="00D7598B" w:rsidTr="00B137E2">
        <w:trPr>
          <w:trHeight w:val="300"/>
          <w:jc w:val="center"/>
        </w:trPr>
        <w:tc>
          <w:tcPr>
            <w:tcW w:w="2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AAD" w:rsidRDefault="00623AAD" w:rsidP="00D7598B">
            <w:pPr>
              <w:spacing w:before="0" w:after="0" w:line="240" w:lineRule="auto"/>
              <w:rPr>
                <w:rFonts w:ascii="Calibri" w:eastAsia="Times New Roman" w:hAnsi="Calibri" w:cs="Calibri"/>
                <w:color w:val="000000"/>
                <w:sz w:val="22"/>
                <w:szCs w:val="22"/>
                <w:lang w:val="fr-FR" w:eastAsia="fr-FR" w:bidi="ar-SA"/>
              </w:rPr>
            </w:pPr>
            <w:r>
              <w:rPr>
                <w:rFonts w:ascii="Calibri" w:eastAsia="Times New Roman" w:hAnsi="Calibri" w:cs="Calibri"/>
                <w:color w:val="000000"/>
                <w:sz w:val="22"/>
                <w:szCs w:val="22"/>
                <w:lang w:val="fr-FR" w:eastAsia="fr-FR" w:bidi="ar-SA"/>
              </w:rPr>
              <w:t>Wallis et Futuna</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623AAD" w:rsidRPr="00D7598B" w:rsidRDefault="00623AAD" w:rsidP="00D7598B">
            <w:pPr>
              <w:spacing w:before="0" w:after="0" w:line="240" w:lineRule="auto"/>
              <w:jc w:val="center"/>
              <w:rPr>
                <w:rFonts w:ascii="Calibri" w:eastAsia="Times New Roman" w:hAnsi="Calibri" w:cs="Calibri"/>
                <w:color w:val="000000"/>
                <w:sz w:val="22"/>
                <w:szCs w:val="22"/>
                <w:lang w:val="fr-FR" w:eastAsia="fr-FR" w:bidi="ar-SA"/>
              </w:rPr>
            </w:pPr>
            <w:r>
              <w:rPr>
                <w:rFonts w:ascii="Calibri" w:eastAsia="Times New Roman" w:hAnsi="Calibri" w:cs="Calibri"/>
                <w:color w:val="000000"/>
                <w:sz w:val="22"/>
                <w:szCs w:val="22"/>
                <w:lang w:val="fr-FR" w:eastAsia="fr-FR" w:bidi="ar-SA"/>
              </w:rPr>
              <w:t>0</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623AAD" w:rsidRDefault="00623AAD" w:rsidP="00D7598B">
            <w:pPr>
              <w:spacing w:before="0" w:after="0" w:line="240" w:lineRule="auto"/>
              <w:jc w:val="center"/>
              <w:rPr>
                <w:rFonts w:ascii="Calibri" w:eastAsia="Times New Roman" w:hAnsi="Calibri" w:cs="Calibri"/>
                <w:color w:val="000000"/>
                <w:sz w:val="22"/>
                <w:szCs w:val="22"/>
                <w:lang w:val="fr-FR" w:eastAsia="fr-FR" w:bidi="ar-SA"/>
              </w:rPr>
            </w:pPr>
            <w:r>
              <w:rPr>
                <w:rFonts w:ascii="Calibri" w:eastAsia="Times New Roman" w:hAnsi="Calibri" w:cs="Calibri"/>
                <w:color w:val="000000"/>
                <w:sz w:val="22"/>
                <w:szCs w:val="22"/>
                <w:lang w:val="fr-FR" w:eastAsia="fr-FR" w:bidi="ar-SA"/>
              </w:rPr>
              <w:t>2</w:t>
            </w:r>
          </w:p>
        </w:tc>
      </w:tr>
      <w:tr w:rsidR="00B137E2" w:rsidRPr="00D7598B" w:rsidTr="00B137E2">
        <w:trPr>
          <w:trHeight w:val="300"/>
          <w:jc w:val="center"/>
        </w:trPr>
        <w:tc>
          <w:tcPr>
            <w:tcW w:w="2384" w:type="dxa"/>
            <w:tcBorders>
              <w:top w:val="single" w:sz="4" w:space="0" w:color="auto"/>
            </w:tcBorders>
            <w:shd w:val="clear" w:color="auto" w:fill="auto"/>
            <w:noWrap/>
            <w:vAlign w:val="bottom"/>
            <w:hideMark/>
          </w:tcPr>
          <w:p w:rsidR="00B137E2" w:rsidRDefault="00B137E2" w:rsidP="00D7598B">
            <w:pPr>
              <w:spacing w:before="0" w:after="0" w:line="240" w:lineRule="auto"/>
              <w:rPr>
                <w:rFonts w:ascii="Calibri" w:eastAsia="Times New Roman" w:hAnsi="Calibri" w:cs="Calibri"/>
                <w:color w:val="000000"/>
                <w:sz w:val="22"/>
                <w:szCs w:val="22"/>
                <w:lang w:val="fr-FR" w:eastAsia="fr-FR" w:bidi="ar-SA"/>
              </w:rPr>
            </w:pPr>
          </w:p>
        </w:tc>
        <w:tc>
          <w:tcPr>
            <w:tcW w:w="1441" w:type="dxa"/>
            <w:tcBorders>
              <w:top w:val="single" w:sz="4" w:space="0" w:color="auto"/>
              <w:left w:val="nil"/>
              <w:bottom w:val="single" w:sz="4" w:space="0" w:color="auto"/>
            </w:tcBorders>
            <w:shd w:val="clear" w:color="auto" w:fill="C6D9F1" w:themeFill="text2" w:themeFillTint="33"/>
            <w:noWrap/>
            <w:vAlign w:val="bottom"/>
            <w:hideMark/>
          </w:tcPr>
          <w:p w:rsidR="00B137E2" w:rsidRPr="00B137E2" w:rsidRDefault="00B137E2" w:rsidP="00D7598B">
            <w:pPr>
              <w:spacing w:before="0" w:after="0" w:line="240" w:lineRule="auto"/>
              <w:jc w:val="center"/>
              <w:rPr>
                <w:rFonts w:ascii="Calibri" w:eastAsia="Times New Roman" w:hAnsi="Calibri" w:cs="Calibri"/>
                <w:i/>
                <w:color w:val="000000"/>
                <w:sz w:val="18"/>
                <w:szCs w:val="18"/>
                <w:lang w:val="fr-FR" w:eastAsia="fr-FR" w:bidi="ar-SA"/>
              </w:rPr>
            </w:pPr>
            <w:r w:rsidRPr="00B137E2">
              <w:rPr>
                <w:rFonts w:ascii="Calibri" w:eastAsia="Times New Roman" w:hAnsi="Calibri" w:cs="Calibri"/>
                <w:i/>
                <w:color w:val="000000"/>
                <w:sz w:val="18"/>
                <w:szCs w:val="18"/>
                <w:lang w:val="fr-FR" w:eastAsia="fr-FR" w:bidi="ar-SA"/>
              </w:rPr>
              <w:t>Données LSA</w:t>
            </w:r>
          </w:p>
        </w:tc>
        <w:tc>
          <w:tcPr>
            <w:tcW w:w="1421" w:type="dxa"/>
            <w:tcBorders>
              <w:top w:val="single" w:sz="4" w:space="0" w:color="auto"/>
            </w:tcBorders>
            <w:shd w:val="clear" w:color="auto" w:fill="auto"/>
            <w:noWrap/>
            <w:vAlign w:val="bottom"/>
            <w:hideMark/>
          </w:tcPr>
          <w:p w:rsidR="00B137E2" w:rsidRDefault="00B137E2" w:rsidP="00D7598B">
            <w:pPr>
              <w:spacing w:before="0" w:after="0" w:line="240" w:lineRule="auto"/>
              <w:jc w:val="center"/>
              <w:rPr>
                <w:rFonts w:ascii="Calibri" w:eastAsia="Times New Roman" w:hAnsi="Calibri" w:cs="Calibri"/>
                <w:color w:val="000000"/>
                <w:sz w:val="22"/>
                <w:szCs w:val="22"/>
                <w:lang w:val="fr-FR" w:eastAsia="fr-FR" w:bidi="ar-SA"/>
              </w:rPr>
            </w:pPr>
          </w:p>
        </w:tc>
      </w:tr>
    </w:tbl>
    <w:p w:rsidR="00D7598B" w:rsidRPr="004B64EA" w:rsidRDefault="001774EC" w:rsidP="00703D0B">
      <w:pPr>
        <w:jc w:val="both"/>
        <w:rPr>
          <w:rFonts w:cstheme="minorHAnsi"/>
          <w:lang w:val="fr-FR"/>
        </w:rPr>
      </w:pPr>
      <w:r w:rsidRPr="004B64EA">
        <w:rPr>
          <w:rFonts w:cstheme="minorHAnsi"/>
          <w:lang w:val="fr-FR"/>
        </w:rPr>
        <w:t xml:space="preserve">Excepté </w:t>
      </w:r>
      <w:r w:rsidR="004B64EA">
        <w:rPr>
          <w:rFonts w:cstheme="minorHAnsi"/>
          <w:lang w:val="fr-FR"/>
        </w:rPr>
        <w:t>pour</w:t>
      </w:r>
      <w:r w:rsidRPr="004B64EA">
        <w:rPr>
          <w:rFonts w:cstheme="minorHAnsi"/>
          <w:lang w:val="fr-FR"/>
        </w:rPr>
        <w:t xml:space="preserve"> la Réunion où la connaissance des dates d’ouverture a permis de reconstituer le passé, l’évolution des nouvelles surfaces de vente </w:t>
      </w:r>
      <w:r w:rsidR="004B64EA">
        <w:rPr>
          <w:rFonts w:cstheme="minorHAnsi"/>
          <w:lang w:val="fr-FR"/>
        </w:rPr>
        <w:t>a été estimée</w:t>
      </w:r>
      <w:r w:rsidRPr="004B64EA">
        <w:rPr>
          <w:rFonts w:cstheme="minorHAnsi"/>
          <w:lang w:val="fr-FR"/>
        </w:rPr>
        <w:t xml:space="preserve"> en se basant sur une répartition aléatoire des ouvertures de magasins depuis 1970 et des surfaces moyennes de même type qu’à la Réunion dans le cas où aucune information plus précise n’a pu être trouvée.</w:t>
      </w:r>
    </w:p>
    <w:p w:rsidR="00282BAC" w:rsidRPr="004B64EA" w:rsidRDefault="00282BAC" w:rsidP="00282BAC">
      <w:pPr>
        <w:rPr>
          <w:rFonts w:cstheme="minorHAnsi"/>
          <w:b/>
          <w:lang w:val="fr-FR"/>
        </w:rPr>
      </w:pPr>
      <w:r w:rsidRPr="004B64EA">
        <w:rPr>
          <w:rFonts w:cstheme="minorHAnsi"/>
          <w:b/>
          <w:lang w:val="fr-FR"/>
        </w:rPr>
        <w:lastRenderedPageBreak/>
        <w:t>Petits commerces</w:t>
      </w:r>
    </w:p>
    <w:p w:rsidR="00A26270" w:rsidRPr="004B64EA" w:rsidRDefault="00A26270" w:rsidP="004B64EA">
      <w:pPr>
        <w:jc w:val="both"/>
        <w:rPr>
          <w:rFonts w:cstheme="minorHAnsi"/>
          <w:lang w:val="fr-FR"/>
        </w:rPr>
      </w:pPr>
      <w:r w:rsidRPr="004B64EA">
        <w:rPr>
          <w:rFonts w:cstheme="minorHAnsi"/>
          <w:lang w:val="fr-FR"/>
        </w:rPr>
        <w:t>L’estimation du parc des petits commerces par territoire a été réalisée à partir des données INSEE 2009 concernant les territoires du groupe 1 (excepté St Pierre et Miquelon) présentées tableau 7. Le classement des petits commerces adopté pour la métropole a été conservé [BAR11]. Pour les territoires du groupe 2, aucune donnée n’ayant pu être trouvée, les parcs de petits commerces ont été estimés au prorata des pop</w:t>
      </w:r>
      <w:r w:rsidR="004B64EA">
        <w:rPr>
          <w:rFonts w:cstheme="minorHAnsi"/>
          <w:lang w:val="fr-FR"/>
        </w:rPr>
        <w:t>ulations avec ceux du groupe 1.</w:t>
      </w:r>
    </w:p>
    <w:p w:rsidR="00A26270" w:rsidRPr="00AE1334" w:rsidRDefault="00A26270" w:rsidP="00A26270">
      <w:pPr>
        <w:pStyle w:val="Sous-titre"/>
        <w:spacing w:after="100"/>
        <w:jc w:val="center"/>
        <w:rPr>
          <w:sz w:val="20"/>
          <w:szCs w:val="20"/>
          <w:lang w:val="fr-FR"/>
        </w:rPr>
      </w:pPr>
      <w:r>
        <w:rPr>
          <w:lang w:val="fr-FR"/>
        </w:rPr>
        <w:t>Tableau 7</w:t>
      </w:r>
      <w:r w:rsidRPr="00C8316D">
        <w:rPr>
          <w:lang w:val="fr-FR"/>
        </w:rPr>
        <w:t xml:space="preserve"> – </w:t>
      </w:r>
      <w:r>
        <w:rPr>
          <w:lang w:val="fr-FR"/>
        </w:rPr>
        <w:t>estimation du parc de petits commerces en 2009</w:t>
      </w:r>
    </w:p>
    <w:p w:rsidR="00A26270" w:rsidRDefault="00A26270" w:rsidP="004B64EA">
      <w:pPr>
        <w:jc w:val="center"/>
        <w:rPr>
          <w:rFonts w:ascii="Arial" w:hAnsi="Arial" w:cs="Arial"/>
          <w:lang w:val="fr-FR"/>
        </w:rPr>
      </w:pPr>
      <w:r>
        <w:rPr>
          <w:rFonts w:ascii="Arial" w:hAnsi="Arial" w:cs="Arial"/>
          <w:noProof/>
          <w:lang w:val="fr-FR" w:eastAsia="fr-FR" w:bidi="ar-SA"/>
        </w:rPr>
        <w:drawing>
          <wp:inline distT="0" distB="0" distL="0" distR="0">
            <wp:extent cx="5248350" cy="219046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srcRect t="2360"/>
                    <a:stretch/>
                  </pic:blipFill>
                  <pic:spPr bwMode="auto">
                    <a:xfrm>
                      <a:off x="0" y="0"/>
                      <a:ext cx="5248602" cy="21905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82BAC" w:rsidRPr="00C8316D" w:rsidRDefault="00282BAC" w:rsidP="00282BAC">
      <w:pPr>
        <w:rPr>
          <w:rFonts w:ascii="Arial" w:hAnsi="Arial" w:cs="Arial"/>
          <w:lang w:val="fr-FR"/>
        </w:rPr>
      </w:pPr>
      <w:r w:rsidRPr="00C8316D">
        <w:rPr>
          <w:noProof/>
          <w:lang w:val="fr-FR" w:eastAsia="fr-FR" w:bidi="ar-SA"/>
        </w:rPr>
        <w:drawing>
          <wp:inline distT="0" distB="0" distL="0" distR="0">
            <wp:extent cx="5650173" cy="1082409"/>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651512" cy="1082666"/>
                    </a:xfrm>
                    <a:prstGeom prst="rect">
                      <a:avLst/>
                    </a:prstGeom>
                    <a:noFill/>
                    <a:ln w="9525">
                      <a:noFill/>
                      <a:miter lim="800000"/>
                      <a:headEnd/>
                      <a:tailEnd/>
                    </a:ln>
                  </pic:spPr>
                </pic:pic>
              </a:graphicData>
            </a:graphic>
          </wp:inline>
        </w:drawing>
      </w:r>
    </w:p>
    <w:p w:rsidR="00A26270" w:rsidRDefault="00A26270" w:rsidP="00C8316D">
      <w:pPr>
        <w:rPr>
          <w:lang w:val="fr-FR"/>
        </w:rPr>
      </w:pPr>
      <w:r>
        <w:rPr>
          <w:lang w:val="fr-FR"/>
        </w:rPr>
        <w:t>Les marchés de groupes hermétiques et de groupes de condensation équipant les petits commerces ont été reconstitués à partir des parcs de magasins, connaissant leur durée de vie.</w:t>
      </w:r>
    </w:p>
    <w:p w:rsidR="00C8316D" w:rsidRDefault="00A26270" w:rsidP="00C8316D">
      <w:pPr>
        <w:rPr>
          <w:lang w:val="fr-FR"/>
        </w:rPr>
      </w:pPr>
      <w:r>
        <w:rPr>
          <w:lang w:val="fr-FR"/>
        </w:rPr>
        <w:t>Aucune donnée n’est disponible sur le nombre de distributeurs réfrigérés dans les DOM COM. Leur marché a été estimé au prorata de la population de la métropole.</w:t>
      </w:r>
    </w:p>
    <w:p w:rsidR="00A26270" w:rsidRPr="00C8316D" w:rsidRDefault="00A26270" w:rsidP="00C8316D">
      <w:pPr>
        <w:rPr>
          <w:lang w:val="fr-FR"/>
        </w:rPr>
      </w:pPr>
    </w:p>
    <w:p w:rsidR="00C8316D" w:rsidRPr="00C8316D" w:rsidRDefault="00A43444" w:rsidP="00C8316D">
      <w:pPr>
        <w:pStyle w:val="Titre3"/>
        <w:rPr>
          <w:lang w:val="fr-FR"/>
        </w:rPr>
      </w:pPr>
      <w:bookmarkStart w:id="18" w:name="_Toc310855642"/>
      <w:r>
        <w:rPr>
          <w:lang w:val="fr-FR"/>
        </w:rPr>
        <w:t xml:space="preserve">4.1.3 </w:t>
      </w:r>
      <w:r w:rsidR="00C8316D" w:rsidRPr="00C8316D">
        <w:rPr>
          <w:lang w:val="fr-FR"/>
        </w:rPr>
        <w:t>transport</w:t>
      </w:r>
      <w:bookmarkEnd w:id="18"/>
    </w:p>
    <w:p w:rsidR="004B64EA" w:rsidRDefault="003351C9" w:rsidP="00830983">
      <w:pPr>
        <w:jc w:val="both"/>
        <w:rPr>
          <w:lang w:val="fr-FR"/>
        </w:rPr>
      </w:pPr>
      <w:r>
        <w:rPr>
          <w:lang w:val="fr-FR"/>
        </w:rPr>
        <w:t xml:space="preserve">La méthode d’estimation utilisée dans les inventaires mondiaux a été reproduite </w:t>
      </w:r>
      <w:r w:rsidR="004B64EA">
        <w:rPr>
          <w:lang w:val="fr-FR"/>
        </w:rPr>
        <w:t>pour les</w:t>
      </w:r>
      <w:r>
        <w:rPr>
          <w:lang w:val="fr-FR"/>
        </w:rPr>
        <w:t xml:space="preserve"> DOM COM afin d’estimer les parcs de camions frigorifiques de type « poulie –courroie » et « à systèmes autonomes ».</w:t>
      </w:r>
      <w:r w:rsidR="00830983">
        <w:rPr>
          <w:lang w:val="fr-FR"/>
        </w:rPr>
        <w:t xml:space="preserve"> Il est supposé que le ratio entre la flotte de camions frigorifiques et la production agroalimentaire est constant entre la métropole et les DOM COM. Les productions agroalimentaires sont données par la FAO [FAO11] pour la plupart des territoires de 1960 à 2009. Les flottes et marchés obtenus sont présentés tableau 8.</w:t>
      </w:r>
    </w:p>
    <w:p w:rsidR="00E457F9" w:rsidRPr="00AE1334" w:rsidRDefault="00E457F9" w:rsidP="00E457F9">
      <w:pPr>
        <w:pStyle w:val="Sous-titre"/>
        <w:spacing w:after="100"/>
        <w:jc w:val="center"/>
        <w:rPr>
          <w:sz w:val="20"/>
          <w:szCs w:val="20"/>
          <w:lang w:val="fr-FR"/>
        </w:rPr>
      </w:pPr>
      <w:r>
        <w:rPr>
          <w:lang w:val="fr-FR"/>
        </w:rPr>
        <w:t>Tableau 8</w:t>
      </w:r>
      <w:r w:rsidRPr="00C8316D">
        <w:rPr>
          <w:lang w:val="fr-FR"/>
        </w:rPr>
        <w:t xml:space="preserve"> – </w:t>
      </w:r>
      <w:r>
        <w:rPr>
          <w:lang w:val="fr-FR"/>
        </w:rPr>
        <w:t>estimation de la flotte des camions frigorifiques</w:t>
      </w:r>
    </w:p>
    <w:tbl>
      <w:tblPr>
        <w:tblStyle w:val="Grilledutableau"/>
        <w:tblW w:w="0" w:type="auto"/>
        <w:tblInd w:w="392" w:type="dxa"/>
        <w:tblLook w:val="04A0"/>
      </w:tblPr>
      <w:tblGrid>
        <w:gridCol w:w="2126"/>
        <w:gridCol w:w="1418"/>
        <w:gridCol w:w="1559"/>
        <w:gridCol w:w="1874"/>
        <w:gridCol w:w="1386"/>
      </w:tblGrid>
      <w:tr w:rsidR="00E457F9" w:rsidTr="00E457F9">
        <w:tc>
          <w:tcPr>
            <w:tcW w:w="2126" w:type="dxa"/>
            <w:vAlign w:val="center"/>
          </w:tcPr>
          <w:p w:rsidR="00E457F9" w:rsidRDefault="00E457F9" w:rsidP="00E457F9">
            <w:pPr>
              <w:spacing w:before="0"/>
              <w:jc w:val="center"/>
              <w:rPr>
                <w:lang w:val="fr-FR"/>
              </w:rPr>
            </w:pPr>
          </w:p>
        </w:tc>
        <w:tc>
          <w:tcPr>
            <w:tcW w:w="2977" w:type="dxa"/>
            <w:gridSpan w:val="2"/>
            <w:vAlign w:val="center"/>
          </w:tcPr>
          <w:p w:rsidR="00E457F9" w:rsidRDefault="00E457F9" w:rsidP="00E457F9">
            <w:pPr>
              <w:spacing w:before="0"/>
              <w:jc w:val="center"/>
              <w:rPr>
                <w:lang w:val="fr-FR"/>
              </w:rPr>
            </w:pPr>
            <w:r>
              <w:rPr>
                <w:lang w:val="fr-FR"/>
              </w:rPr>
              <w:t>Marché 2010 DOM COM</w:t>
            </w:r>
          </w:p>
        </w:tc>
        <w:tc>
          <w:tcPr>
            <w:tcW w:w="3260" w:type="dxa"/>
            <w:gridSpan w:val="2"/>
            <w:vAlign w:val="center"/>
          </w:tcPr>
          <w:p w:rsidR="00E457F9" w:rsidRDefault="00E457F9" w:rsidP="00E457F9">
            <w:pPr>
              <w:spacing w:before="0"/>
              <w:jc w:val="center"/>
              <w:rPr>
                <w:lang w:val="fr-FR"/>
              </w:rPr>
            </w:pPr>
            <w:r>
              <w:rPr>
                <w:lang w:val="fr-FR"/>
              </w:rPr>
              <w:t>Flotte 2010 DOM COM</w:t>
            </w:r>
          </w:p>
        </w:tc>
      </w:tr>
      <w:tr w:rsidR="00E457F9" w:rsidTr="00E457F9">
        <w:tc>
          <w:tcPr>
            <w:tcW w:w="2126" w:type="dxa"/>
            <w:vAlign w:val="center"/>
          </w:tcPr>
          <w:p w:rsidR="00E457F9" w:rsidRDefault="00E457F9" w:rsidP="00E457F9">
            <w:pPr>
              <w:spacing w:before="0"/>
              <w:jc w:val="center"/>
              <w:rPr>
                <w:lang w:val="fr-FR"/>
              </w:rPr>
            </w:pPr>
          </w:p>
        </w:tc>
        <w:tc>
          <w:tcPr>
            <w:tcW w:w="1418" w:type="dxa"/>
            <w:vAlign w:val="center"/>
          </w:tcPr>
          <w:p w:rsidR="00E457F9" w:rsidRDefault="00E457F9" w:rsidP="00E457F9">
            <w:pPr>
              <w:spacing w:before="0"/>
              <w:jc w:val="center"/>
              <w:rPr>
                <w:lang w:val="fr-FR"/>
              </w:rPr>
            </w:pPr>
            <w:r>
              <w:rPr>
                <w:lang w:val="fr-FR"/>
              </w:rPr>
              <w:t>Groupe 1</w:t>
            </w:r>
          </w:p>
        </w:tc>
        <w:tc>
          <w:tcPr>
            <w:tcW w:w="1559" w:type="dxa"/>
            <w:vAlign w:val="center"/>
          </w:tcPr>
          <w:p w:rsidR="00E457F9" w:rsidRDefault="00E457F9" w:rsidP="00E457F9">
            <w:pPr>
              <w:spacing w:before="0"/>
              <w:jc w:val="center"/>
              <w:rPr>
                <w:lang w:val="fr-FR"/>
              </w:rPr>
            </w:pPr>
            <w:r>
              <w:rPr>
                <w:lang w:val="fr-FR"/>
              </w:rPr>
              <w:t>Groupe 2</w:t>
            </w:r>
          </w:p>
        </w:tc>
        <w:tc>
          <w:tcPr>
            <w:tcW w:w="1874" w:type="dxa"/>
            <w:vAlign w:val="center"/>
          </w:tcPr>
          <w:p w:rsidR="00E457F9" w:rsidRDefault="00E457F9" w:rsidP="00E457F9">
            <w:pPr>
              <w:spacing w:before="0"/>
              <w:jc w:val="center"/>
              <w:rPr>
                <w:lang w:val="fr-FR"/>
              </w:rPr>
            </w:pPr>
            <w:r>
              <w:rPr>
                <w:lang w:val="fr-FR"/>
              </w:rPr>
              <w:t>Groupe 1</w:t>
            </w:r>
          </w:p>
        </w:tc>
        <w:tc>
          <w:tcPr>
            <w:tcW w:w="1386" w:type="dxa"/>
            <w:vAlign w:val="center"/>
          </w:tcPr>
          <w:p w:rsidR="00E457F9" w:rsidRDefault="00E457F9" w:rsidP="00E457F9">
            <w:pPr>
              <w:spacing w:before="0"/>
              <w:jc w:val="center"/>
              <w:rPr>
                <w:lang w:val="fr-FR"/>
              </w:rPr>
            </w:pPr>
            <w:r>
              <w:rPr>
                <w:lang w:val="fr-FR"/>
              </w:rPr>
              <w:t>Groupe 2</w:t>
            </w:r>
          </w:p>
        </w:tc>
      </w:tr>
      <w:tr w:rsidR="00327A01" w:rsidTr="007B7960">
        <w:tc>
          <w:tcPr>
            <w:tcW w:w="2126" w:type="dxa"/>
            <w:vAlign w:val="center"/>
          </w:tcPr>
          <w:p w:rsidR="00327A01" w:rsidRDefault="00327A01" w:rsidP="007B7960">
            <w:pPr>
              <w:spacing w:before="0"/>
              <w:jc w:val="center"/>
              <w:rPr>
                <w:lang w:val="fr-FR"/>
              </w:rPr>
            </w:pPr>
            <w:r>
              <w:rPr>
                <w:lang w:val="fr-FR"/>
              </w:rPr>
              <w:t>Systèmes autonomes</w:t>
            </w:r>
          </w:p>
        </w:tc>
        <w:tc>
          <w:tcPr>
            <w:tcW w:w="1418" w:type="dxa"/>
            <w:vAlign w:val="center"/>
          </w:tcPr>
          <w:p w:rsidR="00327A01" w:rsidRDefault="00327A01" w:rsidP="007B7960">
            <w:pPr>
              <w:spacing w:before="0"/>
              <w:jc w:val="center"/>
              <w:rPr>
                <w:lang w:val="fr-FR"/>
              </w:rPr>
            </w:pPr>
            <w:r>
              <w:rPr>
                <w:lang w:val="fr-FR"/>
              </w:rPr>
              <w:t>630</w:t>
            </w:r>
          </w:p>
        </w:tc>
        <w:tc>
          <w:tcPr>
            <w:tcW w:w="1559" w:type="dxa"/>
            <w:vAlign w:val="center"/>
          </w:tcPr>
          <w:p w:rsidR="00327A01" w:rsidRDefault="00327A01" w:rsidP="007B7960">
            <w:pPr>
              <w:spacing w:before="0"/>
              <w:jc w:val="center"/>
              <w:rPr>
                <w:lang w:val="fr-FR"/>
              </w:rPr>
            </w:pPr>
            <w:r>
              <w:rPr>
                <w:lang w:val="fr-FR"/>
              </w:rPr>
              <w:t>90</w:t>
            </w:r>
          </w:p>
        </w:tc>
        <w:tc>
          <w:tcPr>
            <w:tcW w:w="1874" w:type="dxa"/>
            <w:vAlign w:val="center"/>
          </w:tcPr>
          <w:p w:rsidR="00327A01" w:rsidRDefault="00327A01" w:rsidP="007B7960">
            <w:pPr>
              <w:spacing w:before="0"/>
              <w:jc w:val="center"/>
              <w:rPr>
                <w:lang w:val="fr-FR"/>
              </w:rPr>
            </w:pPr>
            <w:r>
              <w:rPr>
                <w:lang w:val="fr-FR"/>
              </w:rPr>
              <w:t>860</w:t>
            </w:r>
          </w:p>
        </w:tc>
        <w:tc>
          <w:tcPr>
            <w:tcW w:w="1386" w:type="dxa"/>
            <w:vAlign w:val="center"/>
          </w:tcPr>
          <w:p w:rsidR="00327A01" w:rsidRDefault="00327A01" w:rsidP="007B7960">
            <w:pPr>
              <w:spacing w:before="0"/>
              <w:jc w:val="center"/>
              <w:rPr>
                <w:lang w:val="fr-FR"/>
              </w:rPr>
            </w:pPr>
            <w:r>
              <w:rPr>
                <w:lang w:val="fr-FR"/>
              </w:rPr>
              <w:t>125</w:t>
            </w:r>
          </w:p>
        </w:tc>
      </w:tr>
      <w:tr w:rsidR="00E457F9" w:rsidTr="00E457F9">
        <w:tc>
          <w:tcPr>
            <w:tcW w:w="2126" w:type="dxa"/>
            <w:vAlign w:val="center"/>
          </w:tcPr>
          <w:p w:rsidR="00E457F9" w:rsidRDefault="00E457F9" w:rsidP="00E457F9">
            <w:pPr>
              <w:spacing w:before="0"/>
              <w:jc w:val="center"/>
              <w:rPr>
                <w:lang w:val="fr-FR"/>
              </w:rPr>
            </w:pPr>
            <w:r>
              <w:rPr>
                <w:lang w:val="fr-FR"/>
              </w:rPr>
              <w:t>Poulies-courroies</w:t>
            </w:r>
          </w:p>
        </w:tc>
        <w:tc>
          <w:tcPr>
            <w:tcW w:w="1418" w:type="dxa"/>
            <w:vAlign w:val="center"/>
          </w:tcPr>
          <w:p w:rsidR="00E457F9" w:rsidRDefault="00E457F9" w:rsidP="00E457F9">
            <w:pPr>
              <w:spacing w:before="0"/>
              <w:jc w:val="center"/>
              <w:rPr>
                <w:lang w:val="fr-FR"/>
              </w:rPr>
            </w:pPr>
            <w:r>
              <w:rPr>
                <w:lang w:val="fr-FR"/>
              </w:rPr>
              <w:t>65</w:t>
            </w:r>
          </w:p>
        </w:tc>
        <w:tc>
          <w:tcPr>
            <w:tcW w:w="1559" w:type="dxa"/>
            <w:vAlign w:val="center"/>
          </w:tcPr>
          <w:p w:rsidR="00E457F9" w:rsidRDefault="00E457F9" w:rsidP="00E457F9">
            <w:pPr>
              <w:spacing w:before="0"/>
              <w:jc w:val="center"/>
              <w:rPr>
                <w:lang w:val="fr-FR"/>
              </w:rPr>
            </w:pPr>
            <w:r>
              <w:rPr>
                <w:lang w:val="fr-FR"/>
              </w:rPr>
              <w:t>9</w:t>
            </w:r>
          </w:p>
        </w:tc>
        <w:tc>
          <w:tcPr>
            <w:tcW w:w="1874" w:type="dxa"/>
            <w:vAlign w:val="center"/>
          </w:tcPr>
          <w:p w:rsidR="00E457F9" w:rsidRDefault="00E457F9" w:rsidP="00E457F9">
            <w:pPr>
              <w:spacing w:before="0"/>
              <w:jc w:val="center"/>
              <w:rPr>
                <w:lang w:val="fr-FR"/>
              </w:rPr>
            </w:pPr>
            <w:r>
              <w:rPr>
                <w:lang w:val="fr-FR"/>
              </w:rPr>
              <w:t>90</w:t>
            </w:r>
          </w:p>
        </w:tc>
        <w:tc>
          <w:tcPr>
            <w:tcW w:w="1386" w:type="dxa"/>
            <w:vAlign w:val="center"/>
          </w:tcPr>
          <w:p w:rsidR="00E457F9" w:rsidRDefault="00E457F9" w:rsidP="00E457F9">
            <w:pPr>
              <w:spacing w:before="0"/>
              <w:jc w:val="center"/>
              <w:rPr>
                <w:lang w:val="fr-FR"/>
              </w:rPr>
            </w:pPr>
            <w:r>
              <w:rPr>
                <w:lang w:val="fr-FR"/>
              </w:rPr>
              <w:t>12</w:t>
            </w:r>
          </w:p>
        </w:tc>
      </w:tr>
    </w:tbl>
    <w:p w:rsidR="00830983" w:rsidRPr="00C8316D" w:rsidRDefault="00830983" w:rsidP="00830983">
      <w:pPr>
        <w:jc w:val="both"/>
        <w:rPr>
          <w:lang w:val="fr-FR"/>
        </w:rPr>
      </w:pPr>
    </w:p>
    <w:p w:rsidR="00E457F9" w:rsidRPr="00E457F9" w:rsidRDefault="00C8316D" w:rsidP="00E457F9">
      <w:pPr>
        <w:pStyle w:val="Titre3"/>
        <w:numPr>
          <w:ilvl w:val="2"/>
          <w:numId w:val="8"/>
        </w:numPr>
        <w:rPr>
          <w:lang w:val="fr-FR"/>
        </w:rPr>
      </w:pPr>
      <w:bookmarkStart w:id="19" w:name="_Toc310855643"/>
      <w:r w:rsidRPr="00C8316D">
        <w:rPr>
          <w:lang w:val="fr-FR"/>
        </w:rPr>
        <w:t>industries</w:t>
      </w:r>
      <w:bookmarkEnd w:id="19"/>
    </w:p>
    <w:p w:rsidR="00E457F9" w:rsidRDefault="00E457F9" w:rsidP="00E457F9">
      <w:pPr>
        <w:jc w:val="both"/>
        <w:rPr>
          <w:lang w:val="fr-FR"/>
        </w:rPr>
      </w:pPr>
      <w:r>
        <w:rPr>
          <w:lang w:val="fr-FR"/>
        </w:rPr>
        <w:t>Les productions agroalimentaires recensées dans les territoires des DOMCOM sont suivies (à quelques années près) dans la base de la FAO. Les données sont mises à jour jusqu’en 2009, elles ont été extrapolées sur 2010 en fonction du taux de croissance des dernières années.</w:t>
      </w:r>
    </w:p>
    <w:p w:rsidR="00493D09" w:rsidRPr="00AE1334" w:rsidRDefault="00493D09" w:rsidP="00493D09">
      <w:pPr>
        <w:pStyle w:val="Sous-titre"/>
        <w:spacing w:after="100"/>
        <w:jc w:val="center"/>
        <w:rPr>
          <w:sz w:val="20"/>
          <w:szCs w:val="20"/>
          <w:lang w:val="fr-FR"/>
        </w:rPr>
      </w:pPr>
      <w:r>
        <w:rPr>
          <w:lang w:val="fr-FR"/>
        </w:rPr>
        <w:t>Tableau 9</w:t>
      </w:r>
      <w:r w:rsidRPr="00C8316D">
        <w:rPr>
          <w:lang w:val="fr-FR"/>
        </w:rPr>
        <w:t xml:space="preserve"> – </w:t>
      </w:r>
      <w:r>
        <w:rPr>
          <w:lang w:val="fr-FR"/>
        </w:rPr>
        <w:t>donnes productions agroalimentaires [fao11]</w:t>
      </w:r>
    </w:p>
    <w:tbl>
      <w:tblPr>
        <w:tblStyle w:val="Grilledutableau"/>
        <w:tblW w:w="0" w:type="auto"/>
        <w:tblInd w:w="534" w:type="dxa"/>
        <w:tblLook w:val="04A0"/>
      </w:tblPr>
      <w:tblGrid>
        <w:gridCol w:w="1275"/>
        <w:gridCol w:w="709"/>
        <w:gridCol w:w="726"/>
        <w:gridCol w:w="860"/>
        <w:gridCol w:w="810"/>
        <w:gridCol w:w="682"/>
        <w:gridCol w:w="954"/>
        <w:gridCol w:w="966"/>
        <w:gridCol w:w="892"/>
        <w:gridCol w:w="880"/>
      </w:tblGrid>
      <w:tr w:rsidR="00FB472E" w:rsidTr="00B1032E">
        <w:trPr>
          <w:cantSplit/>
          <w:trHeight w:val="1099"/>
        </w:trPr>
        <w:tc>
          <w:tcPr>
            <w:tcW w:w="1275" w:type="dxa"/>
            <w:vAlign w:val="center"/>
          </w:tcPr>
          <w:p w:rsidR="00677501" w:rsidRDefault="00FB472E" w:rsidP="00FB472E">
            <w:pPr>
              <w:spacing w:before="0"/>
              <w:rPr>
                <w:lang w:val="fr-FR"/>
              </w:rPr>
            </w:pPr>
            <w:r>
              <w:rPr>
                <w:lang w:val="fr-FR"/>
              </w:rPr>
              <w:t>(</w:t>
            </w:r>
            <w:r w:rsidR="00677501">
              <w:rPr>
                <w:lang w:val="fr-FR"/>
              </w:rPr>
              <w:t>Tonnes</w:t>
            </w:r>
            <w:r>
              <w:rPr>
                <w:lang w:val="fr-FR"/>
              </w:rPr>
              <w:t>)</w:t>
            </w:r>
          </w:p>
        </w:tc>
        <w:tc>
          <w:tcPr>
            <w:tcW w:w="709" w:type="dxa"/>
            <w:textDirection w:val="btLr"/>
          </w:tcPr>
          <w:p w:rsidR="00677501" w:rsidRDefault="00677501" w:rsidP="00B1032E">
            <w:pPr>
              <w:spacing w:before="0"/>
              <w:ind w:right="113"/>
              <w:jc w:val="center"/>
              <w:rPr>
                <w:lang w:val="fr-FR"/>
              </w:rPr>
            </w:pPr>
            <w:r>
              <w:rPr>
                <w:lang w:val="fr-FR"/>
              </w:rPr>
              <w:t>Martinique</w:t>
            </w:r>
          </w:p>
        </w:tc>
        <w:tc>
          <w:tcPr>
            <w:tcW w:w="726" w:type="dxa"/>
            <w:textDirection w:val="btLr"/>
          </w:tcPr>
          <w:p w:rsidR="00677501" w:rsidRDefault="00677501" w:rsidP="00B1032E">
            <w:pPr>
              <w:spacing w:before="0"/>
              <w:jc w:val="center"/>
              <w:rPr>
                <w:lang w:val="fr-FR"/>
              </w:rPr>
            </w:pPr>
            <w:r>
              <w:rPr>
                <w:lang w:val="fr-FR"/>
              </w:rPr>
              <w:t>Guadeloupe</w:t>
            </w:r>
          </w:p>
        </w:tc>
        <w:tc>
          <w:tcPr>
            <w:tcW w:w="860" w:type="dxa"/>
            <w:textDirection w:val="btLr"/>
          </w:tcPr>
          <w:p w:rsidR="00677501" w:rsidRDefault="00677501" w:rsidP="00B1032E">
            <w:pPr>
              <w:spacing w:before="0"/>
              <w:jc w:val="center"/>
              <w:rPr>
                <w:lang w:val="fr-FR"/>
              </w:rPr>
            </w:pPr>
            <w:r>
              <w:rPr>
                <w:lang w:val="fr-FR"/>
              </w:rPr>
              <w:t>Réunion</w:t>
            </w:r>
          </w:p>
        </w:tc>
        <w:tc>
          <w:tcPr>
            <w:tcW w:w="810" w:type="dxa"/>
            <w:textDirection w:val="btLr"/>
          </w:tcPr>
          <w:p w:rsidR="00677501" w:rsidRDefault="00677501" w:rsidP="00B1032E">
            <w:pPr>
              <w:spacing w:before="0"/>
              <w:jc w:val="center"/>
              <w:rPr>
                <w:lang w:val="fr-FR"/>
              </w:rPr>
            </w:pPr>
            <w:r>
              <w:rPr>
                <w:lang w:val="fr-FR"/>
              </w:rPr>
              <w:t>Guyane</w:t>
            </w:r>
          </w:p>
        </w:tc>
        <w:tc>
          <w:tcPr>
            <w:tcW w:w="682" w:type="dxa"/>
            <w:textDirection w:val="btLr"/>
          </w:tcPr>
          <w:p w:rsidR="00677501" w:rsidRDefault="00677501" w:rsidP="00B1032E">
            <w:pPr>
              <w:spacing w:before="0"/>
              <w:jc w:val="center"/>
              <w:rPr>
                <w:lang w:val="fr-FR"/>
              </w:rPr>
            </w:pPr>
            <w:r>
              <w:rPr>
                <w:lang w:val="fr-FR"/>
              </w:rPr>
              <w:t>St Pierre</w:t>
            </w:r>
          </w:p>
        </w:tc>
        <w:tc>
          <w:tcPr>
            <w:tcW w:w="954" w:type="dxa"/>
            <w:textDirection w:val="btLr"/>
          </w:tcPr>
          <w:p w:rsidR="00677501" w:rsidRDefault="00FB472E" w:rsidP="00B1032E">
            <w:pPr>
              <w:spacing w:before="0"/>
              <w:jc w:val="center"/>
              <w:rPr>
                <w:lang w:val="fr-FR"/>
              </w:rPr>
            </w:pPr>
            <w:r>
              <w:rPr>
                <w:lang w:val="fr-FR"/>
              </w:rPr>
              <w:t>Polynésie</w:t>
            </w:r>
          </w:p>
        </w:tc>
        <w:tc>
          <w:tcPr>
            <w:tcW w:w="966" w:type="dxa"/>
            <w:textDirection w:val="btLr"/>
          </w:tcPr>
          <w:p w:rsidR="00677501" w:rsidRDefault="00FB472E" w:rsidP="00B1032E">
            <w:pPr>
              <w:spacing w:before="0"/>
              <w:jc w:val="center"/>
              <w:rPr>
                <w:lang w:val="fr-FR"/>
              </w:rPr>
            </w:pPr>
            <w:r>
              <w:rPr>
                <w:lang w:val="fr-FR"/>
              </w:rPr>
              <w:t>Nouvelle calédonie</w:t>
            </w:r>
          </w:p>
        </w:tc>
        <w:tc>
          <w:tcPr>
            <w:tcW w:w="892" w:type="dxa"/>
            <w:textDirection w:val="btLr"/>
          </w:tcPr>
          <w:p w:rsidR="00FB472E" w:rsidRDefault="00FB472E" w:rsidP="00B1032E">
            <w:pPr>
              <w:spacing w:before="0"/>
              <w:jc w:val="center"/>
              <w:rPr>
                <w:lang w:val="fr-FR"/>
              </w:rPr>
            </w:pPr>
            <w:r>
              <w:rPr>
                <w:lang w:val="fr-FR"/>
              </w:rPr>
              <w:t>Wallis</w:t>
            </w:r>
          </w:p>
          <w:p w:rsidR="00677501" w:rsidRDefault="00FB472E" w:rsidP="00B1032E">
            <w:pPr>
              <w:spacing w:before="0"/>
              <w:jc w:val="center"/>
              <w:rPr>
                <w:lang w:val="fr-FR"/>
              </w:rPr>
            </w:pPr>
            <w:r>
              <w:rPr>
                <w:lang w:val="fr-FR"/>
              </w:rPr>
              <w:t>&amp;Futuna</w:t>
            </w:r>
          </w:p>
        </w:tc>
        <w:tc>
          <w:tcPr>
            <w:tcW w:w="880" w:type="dxa"/>
            <w:textDirection w:val="btLr"/>
          </w:tcPr>
          <w:p w:rsidR="00677501" w:rsidRDefault="00FB472E" w:rsidP="00B1032E">
            <w:pPr>
              <w:spacing w:before="0"/>
              <w:jc w:val="center"/>
              <w:rPr>
                <w:lang w:val="fr-FR"/>
              </w:rPr>
            </w:pPr>
            <w:r>
              <w:rPr>
                <w:lang w:val="fr-FR"/>
              </w:rPr>
              <w:t>Mayotte</w:t>
            </w:r>
          </w:p>
        </w:tc>
      </w:tr>
      <w:tr w:rsidR="00FB472E" w:rsidTr="00FB472E">
        <w:tc>
          <w:tcPr>
            <w:tcW w:w="1275" w:type="dxa"/>
          </w:tcPr>
          <w:p w:rsidR="00677501" w:rsidRDefault="00677501" w:rsidP="00FB472E">
            <w:pPr>
              <w:spacing w:before="0"/>
              <w:jc w:val="both"/>
              <w:rPr>
                <w:lang w:val="fr-FR"/>
              </w:rPr>
            </w:pPr>
            <w:r>
              <w:rPr>
                <w:lang w:val="fr-FR"/>
              </w:rPr>
              <w:t>Viande</w:t>
            </w:r>
          </w:p>
        </w:tc>
        <w:tc>
          <w:tcPr>
            <w:tcW w:w="709" w:type="dxa"/>
            <w:vAlign w:val="center"/>
          </w:tcPr>
          <w:p w:rsidR="00677501" w:rsidRDefault="00677501" w:rsidP="00C2479D">
            <w:pPr>
              <w:spacing w:before="0"/>
              <w:jc w:val="right"/>
              <w:rPr>
                <w:lang w:val="fr-FR"/>
              </w:rPr>
            </w:pPr>
            <w:r>
              <w:rPr>
                <w:lang w:val="fr-FR"/>
              </w:rPr>
              <w:t>3 410</w:t>
            </w:r>
          </w:p>
        </w:tc>
        <w:tc>
          <w:tcPr>
            <w:tcW w:w="726" w:type="dxa"/>
            <w:vAlign w:val="center"/>
          </w:tcPr>
          <w:p w:rsidR="00677501" w:rsidRDefault="00677501" w:rsidP="00C2479D">
            <w:pPr>
              <w:spacing w:before="0"/>
              <w:jc w:val="right"/>
              <w:rPr>
                <w:lang w:val="fr-FR"/>
              </w:rPr>
            </w:pPr>
            <w:r>
              <w:rPr>
                <w:lang w:val="fr-FR"/>
              </w:rPr>
              <w:t>6 200</w:t>
            </w:r>
          </w:p>
        </w:tc>
        <w:tc>
          <w:tcPr>
            <w:tcW w:w="860" w:type="dxa"/>
            <w:vAlign w:val="center"/>
          </w:tcPr>
          <w:p w:rsidR="00677501" w:rsidRDefault="00677501" w:rsidP="00C2479D">
            <w:pPr>
              <w:spacing w:before="0"/>
              <w:jc w:val="right"/>
              <w:rPr>
                <w:lang w:val="fr-FR"/>
              </w:rPr>
            </w:pPr>
            <w:r>
              <w:rPr>
                <w:lang w:val="fr-FR"/>
              </w:rPr>
              <w:t>39 500</w:t>
            </w:r>
          </w:p>
        </w:tc>
        <w:tc>
          <w:tcPr>
            <w:tcW w:w="810" w:type="dxa"/>
            <w:vAlign w:val="center"/>
          </w:tcPr>
          <w:p w:rsidR="00677501" w:rsidRDefault="00677501" w:rsidP="00C2479D">
            <w:pPr>
              <w:spacing w:before="0"/>
              <w:jc w:val="right"/>
              <w:rPr>
                <w:lang w:val="fr-FR"/>
              </w:rPr>
            </w:pPr>
            <w:r>
              <w:rPr>
                <w:lang w:val="fr-FR"/>
              </w:rPr>
              <w:t>1 270</w:t>
            </w:r>
          </w:p>
        </w:tc>
        <w:tc>
          <w:tcPr>
            <w:tcW w:w="682" w:type="dxa"/>
            <w:vAlign w:val="center"/>
          </w:tcPr>
          <w:p w:rsidR="00677501" w:rsidRDefault="00677501" w:rsidP="00C2479D">
            <w:pPr>
              <w:spacing w:before="0"/>
              <w:jc w:val="right"/>
              <w:rPr>
                <w:lang w:val="fr-FR"/>
              </w:rPr>
            </w:pPr>
            <w:r>
              <w:rPr>
                <w:lang w:val="fr-FR"/>
              </w:rPr>
              <w:t>6</w:t>
            </w:r>
          </w:p>
        </w:tc>
        <w:tc>
          <w:tcPr>
            <w:tcW w:w="954" w:type="dxa"/>
            <w:vAlign w:val="center"/>
          </w:tcPr>
          <w:p w:rsidR="00677501" w:rsidRDefault="00FB472E" w:rsidP="00C2479D">
            <w:pPr>
              <w:spacing w:before="0"/>
              <w:jc w:val="right"/>
              <w:rPr>
                <w:lang w:val="fr-FR"/>
              </w:rPr>
            </w:pPr>
            <w:r>
              <w:rPr>
                <w:lang w:val="fr-FR"/>
              </w:rPr>
              <w:t>2 240</w:t>
            </w:r>
          </w:p>
        </w:tc>
        <w:tc>
          <w:tcPr>
            <w:tcW w:w="966" w:type="dxa"/>
            <w:vAlign w:val="center"/>
          </w:tcPr>
          <w:p w:rsidR="00677501" w:rsidRDefault="00FB472E" w:rsidP="00C2479D">
            <w:pPr>
              <w:spacing w:before="0"/>
              <w:jc w:val="right"/>
              <w:rPr>
                <w:lang w:val="fr-FR"/>
              </w:rPr>
            </w:pPr>
            <w:r>
              <w:rPr>
                <w:lang w:val="fr-FR"/>
              </w:rPr>
              <w:t>6 290</w:t>
            </w:r>
          </w:p>
        </w:tc>
        <w:tc>
          <w:tcPr>
            <w:tcW w:w="892" w:type="dxa"/>
            <w:vAlign w:val="center"/>
          </w:tcPr>
          <w:p w:rsidR="00677501" w:rsidRDefault="00FB472E" w:rsidP="00C2479D">
            <w:pPr>
              <w:spacing w:before="0"/>
              <w:jc w:val="right"/>
              <w:rPr>
                <w:lang w:val="fr-FR"/>
              </w:rPr>
            </w:pPr>
            <w:r>
              <w:rPr>
                <w:lang w:val="fr-FR"/>
              </w:rPr>
              <w:t>0</w:t>
            </w:r>
          </w:p>
        </w:tc>
        <w:tc>
          <w:tcPr>
            <w:tcW w:w="880" w:type="dxa"/>
            <w:vAlign w:val="center"/>
          </w:tcPr>
          <w:p w:rsidR="00677501" w:rsidRDefault="00FB472E" w:rsidP="00C2479D">
            <w:pPr>
              <w:spacing w:before="0"/>
              <w:jc w:val="right"/>
              <w:rPr>
                <w:lang w:val="fr-FR"/>
              </w:rPr>
            </w:pPr>
            <w:r>
              <w:rPr>
                <w:lang w:val="fr-FR"/>
              </w:rPr>
              <w:t>0</w:t>
            </w:r>
          </w:p>
        </w:tc>
      </w:tr>
      <w:tr w:rsidR="00FB472E" w:rsidTr="00FB472E">
        <w:tc>
          <w:tcPr>
            <w:tcW w:w="1275" w:type="dxa"/>
          </w:tcPr>
          <w:p w:rsidR="00677501" w:rsidRDefault="00677501" w:rsidP="00FB472E">
            <w:pPr>
              <w:spacing w:before="0"/>
              <w:jc w:val="both"/>
              <w:rPr>
                <w:lang w:val="fr-FR"/>
              </w:rPr>
            </w:pPr>
            <w:r>
              <w:rPr>
                <w:lang w:val="fr-FR"/>
              </w:rPr>
              <w:t>Lait</w:t>
            </w:r>
          </w:p>
        </w:tc>
        <w:tc>
          <w:tcPr>
            <w:tcW w:w="709" w:type="dxa"/>
            <w:vAlign w:val="center"/>
          </w:tcPr>
          <w:p w:rsidR="00677501" w:rsidRDefault="00677501" w:rsidP="00C2479D">
            <w:pPr>
              <w:spacing w:before="0"/>
              <w:jc w:val="right"/>
              <w:rPr>
                <w:lang w:val="fr-FR"/>
              </w:rPr>
            </w:pPr>
            <w:r>
              <w:rPr>
                <w:lang w:val="fr-FR"/>
              </w:rPr>
              <w:t>2 760</w:t>
            </w:r>
          </w:p>
        </w:tc>
        <w:tc>
          <w:tcPr>
            <w:tcW w:w="726" w:type="dxa"/>
            <w:vAlign w:val="center"/>
          </w:tcPr>
          <w:p w:rsidR="00677501" w:rsidRDefault="00677501" w:rsidP="00C2479D">
            <w:pPr>
              <w:spacing w:before="0"/>
              <w:jc w:val="right"/>
              <w:rPr>
                <w:lang w:val="fr-FR"/>
              </w:rPr>
            </w:pPr>
            <w:r>
              <w:rPr>
                <w:lang w:val="fr-FR"/>
              </w:rPr>
              <w:t>90</w:t>
            </w:r>
          </w:p>
        </w:tc>
        <w:tc>
          <w:tcPr>
            <w:tcW w:w="860" w:type="dxa"/>
            <w:vAlign w:val="center"/>
          </w:tcPr>
          <w:p w:rsidR="00677501" w:rsidRDefault="00FB472E" w:rsidP="00C2479D">
            <w:pPr>
              <w:spacing w:before="0"/>
              <w:jc w:val="right"/>
              <w:rPr>
                <w:lang w:val="fr-FR"/>
              </w:rPr>
            </w:pPr>
            <w:r>
              <w:rPr>
                <w:lang w:val="fr-FR"/>
              </w:rPr>
              <w:t>24 420</w:t>
            </w:r>
          </w:p>
        </w:tc>
        <w:tc>
          <w:tcPr>
            <w:tcW w:w="810" w:type="dxa"/>
            <w:vAlign w:val="center"/>
          </w:tcPr>
          <w:p w:rsidR="00677501" w:rsidRDefault="00FB472E" w:rsidP="00C2479D">
            <w:pPr>
              <w:spacing w:before="0"/>
              <w:jc w:val="right"/>
              <w:rPr>
                <w:lang w:val="fr-FR"/>
              </w:rPr>
            </w:pPr>
            <w:r>
              <w:rPr>
                <w:lang w:val="fr-FR"/>
              </w:rPr>
              <w:t>340</w:t>
            </w:r>
          </w:p>
        </w:tc>
        <w:tc>
          <w:tcPr>
            <w:tcW w:w="682" w:type="dxa"/>
            <w:vAlign w:val="center"/>
          </w:tcPr>
          <w:p w:rsidR="00677501" w:rsidRDefault="00FB472E" w:rsidP="00C2479D">
            <w:pPr>
              <w:spacing w:before="0"/>
              <w:jc w:val="right"/>
              <w:rPr>
                <w:lang w:val="fr-FR"/>
              </w:rPr>
            </w:pPr>
            <w:r>
              <w:rPr>
                <w:lang w:val="fr-FR"/>
              </w:rPr>
              <w:t>0</w:t>
            </w:r>
          </w:p>
        </w:tc>
        <w:tc>
          <w:tcPr>
            <w:tcW w:w="954" w:type="dxa"/>
            <w:vAlign w:val="center"/>
          </w:tcPr>
          <w:p w:rsidR="00677501" w:rsidRDefault="00FB472E" w:rsidP="00C2479D">
            <w:pPr>
              <w:spacing w:before="0"/>
              <w:jc w:val="right"/>
              <w:rPr>
                <w:lang w:val="fr-FR"/>
              </w:rPr>
            </w:pPr>
            <w:r>
              <w:rPr>
                <w:lang w:val="fr-FR"/>
              </w:rPr>
              <w:t>1 150</w:t>
            </w:r>
          </w:p>
        </w:tc>
        <w:tc>
          <w:tcPr>
            <w:tcW w:w="966" w:type="dxa"/>
            <w:vAlign w:val="center"/>
          </w:tcPr>
          <w:p w:rsidR="00677501" w:rsidRDefault="00FB472E" w:rsidP="00C2479D">
            <w:pPr>
              <w:spacing w:before="0"/>
              <w:jc w:val="right"/>
              <w:rPr>
                <w:lang w:val="fr-FR"/>
              </w:rPr>
            </w:pPr>
            <w:r>
              <w:rPr>
                <w:lang w:val="fr-FR"/>
              </w:rPr>
              <w:t>880</w:t>
            </w:r>
          </w:p>
        </w:tc>
        <w:tc>
          <w:tcPr>
            <w:tcW w:w="892" w:type="dxa"/>
            <w:vAlign w:val="center"/>
          </w:tcPr>
          <w:p w:rsidR="00677501" w:rsidRDefault="00FB472E" w:rsidP="00C2479D">
            <w:pPr>
              <w:spacing w:before="0"/>
              <w:jc w:val="right"/>
              <w:rPr>
                <w:lang w:val="fr-FR"/>
              </w:rPr>
            </w:pPr>
            <w:r>
              <w:rPr>
                <w:lang w:val="fr-FR"/>
              </w:rPr>
              <w:t>50</w:t>
            </w:r>
          </w:p>
        </w:tc>
        <w:tc>
          <w:tcPr>
            <w:tcW w:w="880" w:type="dxa"/>
            <w:vAlign w:val="center"/>
          </w:tcPr>
          <w:p w:rsidR="00677501" w:rsidRDefault="00FB472E" w:rsidP="00C2479D">
            <w:pPr>
              <w:spacing w:before="0"/>
              <w:jc w:val="right"/>
              <w:rPr>
                <w:lang w:val="fr-FR"/>
              </w:rPr>
            </w:pPr>
            <w:r>
              <w:rPr>
                <w:lang w:val="fr-FR"/>
              </w:rPr>
              <w:t>0</w:t>
            </w:r>
          </w:p>
        </w:tc>
      </w:tr>
      <w:tr w:rsidR="00FB472E" w:rsidTr="00FB472E">
        <w:tc>
          <w:tcPr>
            <w:tcW w:w="1275" w:type="dxa"/>
          </w:tcPr>
          <w:p w:rsidR="00677501" w:rsidRDefault="00677501" w:rsidP="00FB472E">
            <w:pPr>
              <w:spacing w:before="0"/>
              <w:jc w:val="both"/>
              <w:rPr>
                <w:lang w:val="fr-FR"/>
              </w:rPr>
            </w:pPr>
            <w:r>
              <w:rPr>
                <w:lang w:val="fr-FR"/>
              </w:rPr>
              <w:t>Bière et vin</w:t>
            </w:r>
          </w:p>
        </w:tc>
        <w:tc>
          <w:tcPr>
            <w:tcW w:w="709" w:type="dxa"/>
            <w:vAlign w:val="center"/>
          </w:tcPr>
          <w:p w:rsidR="00677501" w:rsidRDefault="00FB472E" w:rsidP="00C2479D">
            <w:pPr>
              <w:spacing w:before="0"/>
              <w:jc w:val="right"/>
              <w:rPr>
                <w:lang w:val="fr-FR"/>
              </w:rPr>
            </w:pPr>
            <w:r>
              <w:rPr>
                <w:lang w:val="fr-FR"/>
              </w:rPr>
              <w:t>0</w:t>
            </w:r>
          </w:p>
        </w:tc>
        <w:tc>
          <w:tcPr>
            <w:tcW w:w="726" w:type="dxa"/>
            <w:vAlign w:val="center"/>
          </w:tcPr>
          <w:p w:rsidR="00677501" w:rsidRDefault="00FB472E" w:rsidP="00C2479D">
            <w:pPr>
              <w:spacing w:before="0"/>
              <w:jc w:val="right"/>
              <w:rPr>
                <w:lang w:val="fr-FR"/>
              </w:rPr>
            </w:pPr>
            <w:r>
              <w:rPr>
                <w:lang w:val="fr-FR"/>
              </w:rPr>
              <w:t>0</w:t>
            </w:r>
          </w:p>
        </w:tc>
        <w:tc>
          <w:tcPr>
            <w:tcW w:w="860" w:type="dxa"/>
            <w:vAlign w:val="center"/>
          </w:tcPr>
          <w:p w:rsidR="00677501" w:rsidRDefault="00FB472E" w:rsidP="00C2479D">
            <w:pPr>
              <w:spacing w:before="0"/>
              <w:jc w:val="right"/>
              <w:rPr>
                <w:lang w:val="fr-FR"/>
              </w:rPr>
            </w:pPr>
            <w:r>
              <w:rPr>
                <w:lang w:val="fr-FR"/>
              </w:rPr>
              <w:t>14 430</w:t>
            </w:r>
          </w:p>
        </w:tc>
        <w:tc>
          <w:tcPr>
            <w:tcW w:w="810" w:type="dxa"/>
            <w:vAlign w:val="center"/>
          </w:tcPr>
          <w:p w:rsidR="00677501" w:rsidRDefault="00FB472E" w:rsidP="00C2479D">
            <w:pPr>
              <w:spacing w:before="0"/>
              <w:jc w:val="right"/>
              <w:rPr>
                <w:lang w:val="fr-FR"/>
              </w:rPr>
            </w:pPr>
            <w:r>
              <w:rPr>
                <w:lang w:val="fr-FR"/>
              </w:rPr>
              <w:t>0</w:t>
            </w:r>
          </w:p>
        </w:tc>
        <w:tc>
          <w:tcPr>
            <w:tcW w:w="682" w:type="dxa"/>
            <w:vAlign w:val="center"/>
          </w:tcPr>
          <w:p w:rsidR="00677501" w:rsidRDefault="00FB472E" w:rsidP="00C2479D">
            <w:pPr>
              <w:spacing w:before="0"/>
              <w:jc w:val="right"/>
              <w:rPr>
                <w:lang w:val="fr-FR"/>
              </w:rPr>
            </w:pPr>
            <w:r>
              <w:rPr>
                <w:lang w:val="fr-FR"/>
              </w:rPr>
              <w:t>0</w:t>
            </w:r>
          </w:p>
        </w:tc>
        <w:tc>
          <w:tcPr>
            <w:tcW w:w="954" w:type="dxa"/>
            <w:vAlign w:val="center"/>
          </w:tcPr>
          <w:p w:rsidR="00677501" w:rsidRDefault="00FB472E" w:rsidP="00C2479D">
            <w:pPr>
              <w:spacing w:before="0"/>
              <w:jc w:val="right"/>
              <w:rPr>
                <w:lang w:val="fr-FR"/>
              </w:rPr>
            </w:pPr>
            <w:r>
              <w:rPr>
                <w:lang w:val="fr-FR"/>
              </w:rPr>
              <w:t>16 570</w:t>
            </w:r>
          </w:p>
        </w:tc>
        <w:tc>
          <w:tcPr>
            <w:tcW w:w="966" w:type="dxa"/>
            <w:vAlign w:val="center"/>
          </w:tcPr>
          <w:p w:rsidR="00677501" w:rsidRDefault="00FB472E" w:rsidP="00C2479D">
            <w:pPr>
              <w:spacing w:before="0"/>
              <w:jc w:val="right"/>
              <w:rPr>
                <w:lang w:val="fr-FR"/>
              </w:rPr>
            </w:pPr>
            <w:r>
              <w:rPr>
                <w:lang w:val="fr-FR"/>
              </w:rPr>
              <w:t>12 600</w:t>
            </w:r>
          </w:p>
        </w:tc>
        <w:tc>
          <w:tcPr>
            <w:tcW w:w="892" w:type="dxa"/>
            <w:vAlign w:val="center"/>
          </w:tcPr>
          <w:p w:rsidR="00677501" w:rsidRDefault="00FB472E" w:rsidP="00C2479D">
            <w:pPr>
              <w:spacing w:before="0"/>
              <w:jc w:val="right"/>
              <w:rPr>
                <w:lang w:val="fr-FR"/>
              </w:rPr>
            </w:pPr>
            <w:r>
              <w:rPr>
                <w:lang w:val="fr-FR"/>
              </w:rPr>
              <w:t>0</w:t>
            </w:r>
          </w:p>
        </w:tc>
        <w:tc>
          <w:tcPr>
            <w:tcW w:w="880" w:type="dxa"/>
            <w:vAlign w:val="center"/>
          </w:tcPr>
          <w:p w:rsidR="00677501" w:rsidRDefault="00FB472E" w:rsidP="00C2479D">
            <w:pPr>
              <w:spacing w:before="0"/>
              <w:jc w:val="right"/>
              <w:rPr>
                <w:lang w:val="fr-FR"/>
              </w:rPr>
            </w:pPr>
            <w:r>
              <w:rPr>
                <w:lang w:val="fr-FR"/>
              </w:rPr>
              <w:t>0</w:t>
            </w:r>
          </w:p>
        </w:tc>
      </w:tr>
      <w:tr w:rsidR="00FB472E" w:rsidTr="00FB472E">
        <w:tc>
          <w:tcPr>
            <w:tcW w:w="1275" w:type="dxa"/>
          </w:tcPr>
          <w:p w:rsidR="00677501" w:rsidRDefault="00677501" w:rsidP="00FB472E">
            <w:pPr>
              <w:spacing w:before="0"/>
              <w:jc w:val="both"/>
              <w:rPr>
                <w:lang w:val="fr-FR"/>
              </w:rPr>
            </w:pPr>
            <w:r>
              <w:rPr>
                <w:lang w:val="fr-FR"/>
              </w:rPr>
              <w:t>Poisson</w:t>
            </w:r>
          </w:p>
        </w:tc>
        <w:tc>
          <w:tcPr>
            <w:tcW w:w="709" w:type="dxa"/>
            <w:vAlign w:val="center"/>
          </w:tcPr>
          <w:p w:rsidR="00677501" w:rsidRDefault="00FB472E" w:rsidP="00C2479D">
            <w:pPr>
              <w:tabs>
                <w:tab w:val="decimal" w:pos="459"/>
              </w:tabs>
              <w:spacing w:before="0"/>
              <w:jc w:val="right"/>
              <w:rPr>
                <w:lang w:val="fr-FR"/>
              </w:rPr>
            </w:pPr>
            <w:r>
              <w:rPr>
                <w:lang w:val="fr-FR"/>
              </w:rPr>
              <w:t>40</w:t>
            </w:r>
          </w:p>
        </w:tc>
        <w:tc>
          <w:tcPr>
            <w:tcW w:w="726" w:type="dxa"/>
            <w:vAlign w:val="center"/>
          </w:tcPr>
          <w:p w:rsidR="00677501" w:rsidRDefault="00FB472E" w:rsidP="00C2479D">
            <w:pPr>
              <w:tabs>
                <w:tab w:val="decimal" w:pos="459"/>
              </w:tabs>
              <w:spacing w:before="0"/>
              <w:jc w:val="right"/>
              <w:rPr>
                <w:lang w:val="fr-FR"/>
              </w:rPr>
            </w:pPr>
            <w:r>
              <w:rPr>
                <w:lang w:val="fr-FR"/>
              </w:rPr>
              <w:t>7</w:t>
            </w:r>
          </w:p>
        </w:tc>
        <w:tc>
          <w:tcPr>
            <w:tcW w:w="860" w:type="dxa"/>
            <w:vAlign w:val="center"/>
          </w:tcPr>
          <w:p w:rsidR="00677501" w:rsidRDefault="00FB472E" w:rsidP="00C2479D">
            <w:pPr>
              <w:tabs>
                <w:tab w:val="decimal" w:pos="459"/>
              </w:tabs>
              <w:spacing w:before="0"/>
              <w:jc w:val="right"/>
              <w:rPr>
                <w:lang w:val="fr-FR"/>
              </w:rPr>
            </w:pPr>
            <w:r>
              <w:rPr>
                <w:lang w:val="fr-FR"/>
              </w:rPr>
              <w:t>100</w:t>
            </w:r>
          </w:p>
        </w:tc>
        <w:tc>
          <w:tcPr>
            <w:tcW w:w="810" w:type="dxa"/>
            <w:vAlign w:val="center"/>
          </w:tcPr>
          <w:p w:rsidR="00677501" w:rsidRDefault="00FB472E" w:rsidP="00C2479D">
            <w:pPr>
              <w:tabs>
                <w:tab w:val="decimal" w:pos="459"/>
              </w:tabs>
              <w:spacing w:before="0"/>
              <w:jc w:val="right"/>
              <w:rPr>
                <w:lang w:val="fr-FR"/>
              </w:rPr>
            </w:pPr>
            <w:r>
              <w:rPr>
                <w:lang w:val="fr-FR"/>
              </w:rPr>
              <w:t>35</w:t>
            </w:r>
          </w:p>
        </w:tc>
        <w:tc>
          <w:tcPr>
            <w:tcW w:w="682" w:type="dxa"/>
            <w:vAlign w:val="center"/>
          </w:tcPr>
          <w:p w:rsidR="00677501" w:rsidRDefault="00FB472E" w:rsidP="00C2479D">
            <w:pPr>
              <w:tabs>
                <w:tab w:val="decimal" w:pos="459"/>
              </w:tabs>
              <w:spacing w:before="0"/>
              <w:jc w:val="right"/>
              <w:rPr>
                <w:lang w:val="fr-FR"/>
              </w:rPr>
            </w:pPr>
            <w:r>
              <w:rPr>
                <w:lang w:val="fr-FR"/>
              </w:rPr>
              <w:t>0</w:t>
            </w:r>
          </w:p>
        </w:tc>
        <w:tc>
          <w:tcPr>
            <w:tcW w:w="954" w:type="dxa"/>
            <w:vAlign w:val="center"/>
          </w:tcPr>
          <w:p w:rsidR="00677501" w:rsidRDefault="00FB472E" w:rsidP="00C2479D">
            <w:pPr>
              <w:tabs>
                <w:tab w:val="decimal" w:pos="459"/>
              </w:tabs>
              <w:spacing w:before="0"/>
              <w:jc w:val="right"/>
              <w:rPr>
                <w:lang w:val="fr-FR"/>
              </w:rPr>
            </w:pPr>
            <w:r>
              <w:rPr>
                <w:lang w:val="fr-FR"/>
              </w:rPr>
              <w:t>55</w:t>
            </w:r>
          </w:p>
        </w:tc>
        <w:tc>
          <w:tcPr>
            <w:tcW w:w="966" w:type="dxa"/>
            <w:vAlign w:val="center"/>
          </w:tcPr>
          <w:p w:rsidR="00677501" w:rsidRDefault="00FB472E" w:rsidP="00C2479D">
            <w:pPr>
              <w:tabs>
                <w:tab w:val="decimal" w:pos="459"/>
              </w:tabs>
              <w:spacing w:before="0"/>
              <w:jc w:val="right"/>
              <w:rPr>
                <w:lang w:val="fr-FR"/>
              </w:rPr>
            </w:pPr>
            <w:r>
              <w:rPr>
                <w:lang w:val="fr-FR"/>
              </w:rPr>
              <w:t>10</w:t>
            </w:r>
          </w:p>
        </w:tc>
        <w:tc>
          <w:tcPr>
            <w:tcW w:w="892" w:type="dxa"/>
            <w:vAlign w:val="center"/>
          </w:tcPr>
          <w:p w:rsidR="00677501" w:rsidRDefault="00FB472E" w:rsidP="00C2479D">
            <w:pPr>
              <w:tabs>
                <w:tab w:val="decimal" w:pos="459"/>
              </w:tabs>
              <w:spacing w:before="0"/>
              <w:jc w:val="right"/>
              <w:rPr>
                <w:lang w:val="fr-FR"/>
              </w:rPr>
            </w:pPr>
            <w:r>
              <w:rPr>
                <w:lang w:val="fr-FR"/>
              </w:rPr>
              <w:t>90</w:t>
            </w:r>
          </w:p>
        </w:tc>
        <w:tc>
          <w:tcPr>
            <w:tcW w:w="880" w:type="dxa"/>
            <w:vAlign w:val="center"/>
          </w:tcPr>
          <w:p w:rsidR="00677501" w:rsidRDefault="00FB472E" w:rsidP="00C2479D">
            <w:pPr>
              <w:tabs>
                <w:tab w:val="decimal" w:pos="459"/>
              </w:tabs>
              <w:spacing w:before="0"/>
              <w:jc w:val="right"/>
              <w:rPr>
                <w:lang w:val="fr-FR"/>
              </w:rPr>
            </w:pPr>
            <w:r>
              <w:rPr>
                <w:lang w:val="fr-FR"/>
              </w:rPr>
              <w:t>35</w:t>
            </w:r>
          </w:p>
        </w:tc>
      </w:tr>
    </w:tbl>
    <w:p w:rsidR="00E457F9" w:rsidRDefault="00D57E65" w:rsidP="00E457F9">
      <w:pPr>
        <w:jc w:val="both"/>
        <w:rPr>
          <w:lang w:val="fr-FR"/>
        </w:rPr>
      </w:pPr>
      <w:r>
        <w:rPr>
          <w:lang w:val="fr-FR"/>
        </w:rPr>
        <w:t>Il n’y a pas de production de cacao. La production de boissons gazeuses est supposée égale à celle de bière.</w:t>
      </w:r>
    </w:p>
    <w:p w:rsidR="00813ECE" w:rsidRDefault="00D57E65" w:rsidP="00813ECE">
      <w:pPr>
        <w:jc w:val="both"/>
        <w:rPr>
          <w:lang w:val="fr-FR"/>
        </w:rPr>
      </w:pPr>
      <w:r>
        <w:rPr>
          <w:lang w:val="fr-FR"/>
        </w:rPr>
        <w:t xml:space="preserve">Un seul autre procédé industriel a été recensé lors de l’étude des livrets des pays fournis par le CITEPA, il s’agit de l’industrie chimique en </w:t>
      </w:r>
      <w:r w:rsidR="00C8316D" w:rsidRPr="00E457F9">
        <w:rPr>
          <w:lang w:val="fr-FR"/>
        </w:rPr>
        <w:t>Nouvelle Calédonie</w:t>
      </w:r>
      <w:r w:rsidR="00813ECE">
        <w:rPr>
          <w:lang w:val="fr-FR"/>
        </w:rPr>
        <w:t>. Il</w:t>
      </w:r>
      <w:r w:rsidR="00C8316D" w:rsidRPr="00E457F9">
        <w:rPr>
          <w:lang w:val="fr-FR"/>
        </w:rPr>
        <w:t xml:space="preserve"> y est recensé 23 entreprises en 2006</w:t>
      </w:r>
      <w:r w:rsidR="00813ECE">
        <w:rPr>
          <w:lang w:val="fr-FR"/>
        </w:rPr>
        <w:t> ; faut</w:t>
      </w:r>
      <w:r w:rsidR="00B1032E">
        <w:rPr>
          <w:lang w:val="fr-FR"/>
        </w:rPr>
        <w:t>e</w:t>
      </w:r>
      <w:r w:rsidR="00813ECE">
        <w:rPr>
          <w:lang w:val="fr-FR"/>
        </w:rPr>
        <w:t xml:space="preserve"> d’informations plus précises, la production chimique en Nouvelle Calédonie a été estimée au prorata des populations par rapport à la production en métropole.</w:t>
      </w:r>
    </w:p>
    <w:p w:rsidR="00E457F9" w:rsidRDefault="00813ECE" w:rsidP="00813ECE">
      <w:pPr>
        <w:jc w:val="both"/>
        <w:rPr>
          <w:lang w:val="fr-FR"/>
        </w:rPr>
      </w:pPr>
      <w:r>
        <w:rPr>
          <w:lang w:val="fr-FR"/>
        </w:rPr>
        <w:t>Les patinoires font également partie du secteur industriel. Deux patinoires ont été prises en com</w:t>
      </w:r>
      <w:r w:rsidR="00B1032E">
        <w:rPr>
          <w:lang w:val="fr-FR"/>
        </w:rPr>
        <w:t>p</w:t>
      </w:r>
      <w:r>
        <w:rPr>
          <w:lang w:val="fr-FR"/>
        </w:rPr>
        <w:t>te :</w:t>
      </w:r>
    </w:p>
    <w:p w:rsidR="00813ECE" w:rsidRDefault="00813ECE" w:rsidP="00813ECE">
      <w:pPr>
        <w:pStyle w:val="Paragraphedeliste"/>
        <w:numPr>
          <w:ilvl w:val="0"/>
          <w:numId w:val="1"/>
        </w:numPr>
        <w:jc w:val="both"/>
        <w:rPr>
          <w:lang w:val="fr-FR"/>
        </w:rPr>
      </w:pPr>
      <w:r>
        <w:rPr>
          <w:lang w:val="fr-FR"/>
        </w:rPr>
        <w:t>L’une à St Pierre et Miquelon [PAT11]</w:t>
      </w:r>
    </w:p>
    <w:p w:rsidR="00813ECE" w:rsidRPr="00813ECE" w:rsidRDefault="00813ECE" w:rsidP="00813ECE">
      <w:pPr>
        <w:pStyle w:val="Paragraphedeliste"/>
        <w:numPr>
          <w:ilvl w:val="0"/>
          <w:numId w:val="1"/>
        </w:numPr>
        <w:jc w:val="both"/>
        <w:rPr>
          <w:lang w:val="fr-FR"/>
        </w:rPr>
      </w:pPr>
      <w:r>
        <w:rPr>
          <w:lang w:val="fr-FR"/>
        </w:rPr>
        <w:t>L’autre en Nouvelle Calédonie [MON11]</w:t>
      </w:r>
    </w:p>
    <w:p w:rsidR="00C8316D" w:rsidRPr="00C8316D" w:rsidRDefault="00C8316D" w:rsidP="00C8316D">
      <w:pPr>
        <w:rPr>
          <w:lang w:val="fr-FR"/>
        </w:rPr>
      </w:pPr>
    </w:p>
    <w:p w:rsidR="00C8316D" w:rsidRPr="00C8316D" w:rsidRDefault="00A43444" w:rsidP="00C8316D">
      <w:pPr>
        <w:pStyle w:val="Titre3"/>
        <w:rPr>
          <w:lang w:val="fr-FR"/>
        </w:rPr>
      </w:pPr>
      <w:bookmarkStart w:id="20" w:name="_Toc310855644"/>
      <w:r>
        <w:rPr>
          <w:lang w:val="fr-FR"/>
        </w:rPr>
        <w:t xml:space="preserve">4.1.5 </w:t>
      </w:r>
      <w:r w:rsidR="00C8316D" w:rsidRPr="00C8316D">
        <w:rPr>
          <w:lang w:val="fr-FR"/>
        </w:rPr>
        <w:t>climatisation a air</w:t>
      </w:r>
      <w:bookmarkEnd w:id="20"/>
    </w:p>
    <w:p w:rsidR="00813ECE" w:rsidRDefault="00813ECE" w:rsidP="00813ECE">
      <w:pPr>
        <w:jc w:val="both"/>
        <w:rPr>
          <w:lang w:val="fr-FR"/>
        </w:rPr>
      </w:pPr>
      <w:r>
        <w:rPr>
          <w:lang w:val="fr-FR"/>
        </w:rPr>
        <w:t>Peu de statistiques sont disponibles sur les équipements de climatisation, mis à part quelques taux d’équipements donnés par l’INSEE pour certains territoires mais qui ne distinguent pas le type d’équipement et ne permettent pas de reconstituer les marchés des différent</w:t>
      </w:r>
      <w:r w:rsidR="00E07477">
        <w:rPr>
          <w:lang w:val="fr-FR"/>
        </w:rPr>
        <w:t>e</w:t>
      </w:r>
      <w:r>
        <w:rPr>
          <w:lang w:val="fr-FR"/>
        </w:rPr>
        <w:t xml:space="preserve">s </w:t>
      </w:r>
      <w:r w:rsidR="00E07477">
        <w:rPr>
          <w:lang w:val="fr-FR"/>
        </w:rPr>
        <w:t>catégories</w:t>
      </w:r>
      <w:r>
        <w:rPr>
          <w:lang w:val="fr-FR"/>
        </w:rPr>
        <w:t xml:space="preserve"> existant</w:t>
      </w:r>
      <w:r w:rsidR="00E07477">
        <w:rPr>
          <w:lang w:val="fr-FR"/>
        </w:rPr>
        <w:t>e</w:t>
      </w:r>
      <w:r>
        <w:rPr>
          <w:lang w:val="fr-FR"/>
        </w:rPr>
        <w:t xml:space="preserve">s. Il a été choisi d’estimer les marchés d’équipements à partir de ceux connus </w:t>
      </w:r>
      <w:r w:rsidR="00B1032E">
        <w:rPr>
          <w:lang w:val="fr-FR"/>
        </w:rPr>
        <w:t>de</w:t>
      </w:r>
      <w:r>
        <w:rPr>
          <w:lang w:val="fr-FR"/>
        </w:rPr>
        <w:t xml:space="preserve"> métropole, au prorata des populations en considérant :</w:t>
      </w:r>
    </w:p>
    <w:p w:rsidR="00813ECE" w:rsidRDefault="00B1032E" w:rsidP="00813ECE">
      <w:pPr>
        <w:pStyle w:val="Paragraphedeliste"/>
        <w:numPr>
          <w:ilvl w:val="0"/>
          <w:numId w:val="1"/>
        </w:numPr>
        <w:jc w:val="both"/>
        <w:rPr>
          <w:lang w:val="fr-FR"/>
        </w:rPr>
      </w:pPr>
      <w:r>
        <w:rPr>
          <w:lang w:val="fr-FR"/>
        </w:rPr>
        <w:t>q</w:t>
      </w:r>
      <w:r w:rsidR="00813ECE">
        <w:rPr>
          <w:lang w:val="fr-FR"/>
        </w:rPr>
        <w:t>ue le parc de PAC dans les DOM COM est négli</w:t>
      </w:r>
      <w:r w:rsidR="004D31BD">
        <w:rPr>
          <w:lang w:val="fr-FR"/>
        </w:rPr>
        <w:t>g</w:t>
      </w:r>
      <w:r w:rsidR="00813ECE">
        <w:rPr>
          <w:lang w:val="fr-FR"/>
        </w:rPr>
        <w:t>eable</w:t>
      </w:r>
    </w:p>
    <w:p w:rsidR="00813ECE" w:rsidRDefault="00B1032E" w:rsidP="00813ECE">
      <w:pPr>
        <w:pStyle w:val="Paragraphedeliste"/>
        <w:numPr>
          <w:ilvl w:val="0"/>
          <w:numId w:val="1"/>
        </w:numPr>
        <w:jc w:val="both"/>
        <w:rPr>
          <w:lang w:val="fr-FR"/>
        </w:rPr>
      </w:pPr>
      <w:r>
        <w:rPr>
          <w:lang w:val="fr-FR"/>
        </w:rPr>
        <w:t>qu’il n’y a pas de systèmes VRV</w:t>
      </w:r>
      <w:r w:rsidR="004D31BD">
        <w:rPr>
          <w:lang w:val="fr-FR"/>
        </w:rPr>
        <w:t xml:space="preserve"> utilisés dans l’industrie</w:t>
      </w:r>
    </w:p>
    <w:p w:rsidR="004D31BD" w:rsidRDefault="00B1032E" w:rsidP="00813ECE">
      <w:pPr>
        <w:pStyle w:val="Paragraphedeliste"/>
        <w:numPr>
          <w:ilvl w:val="0"/>
          <w:numId w:val="1"/>
        </w:numPr>
        <w:jc w:val="both"/>
        <w:rPr>
          <w:lang w:val="fr-FR"/>
        </w:rPr>
      </w:pPr>
      <w:r>
        <w:rPr>
          <w:lang w:val="fr-FR"/>
        </w:rPr>
        <w:t>q</w:t>
      </w:r>
      <w:r w:rsidR="004D31BD">
        <w:rPr>
          <w:lang w:val="fr-FR"/>
        </w:rPr>
        <w:t>ue le no</w:t>
      </w:r>
      <w:r>
        <w:rPr>
          <w:lang w:val="fr-FR"/>
        </w:rPr>
        <w:t>mbre de</w:t>
      </w:r>
      <w:r w:rsidR="004D31BD">
        <w:rPr>
          <w:lang w:val="fr-FR"/>
        </w:rPr>
        <w:t xml:space="preserve"> rooftops est proportionnel à celui des hyper et supermarchés</w:t>
      </w:r>
    </w:p>
    <w:p w:rsidR="004D31BD" w:rsidRDefault="00B1032E" w:rsidP="00813ECE">
      <w:pPr>
        <w:pStyle w:val="Paragraphedeliste"/>
        <w:numPr>
          <w:ilvl w:val="0"/>
          <w:numId w:val="1"/>
        </w:numPr>
        <w:jc w:val="both"/>
        <w:rPr>
          <w:lang w:val="fr-FR"/>
        </w:rPr>
      </w:pPr>
      <w:r>
        <w:rPr>
          <w:lang w:val="fr-FR"/>
        </w:rPr>
        <w:t>q</w:t>
      </w:r>
      <w:r w:rsidR="004D31BD">
        <w:rPr>
          <w:lang w:val="fr-FR"/>
        </w:rPr>
        <w:t>ue, du fait du climat, les</w:t>
      </w:r>
      <w:r w:rsidR="00070043">
        <w:rPr>
          <w:lang w:val="fr-FR"/>
        </w:rPr>
        <w:t xml:space="preserve"> autres</w:t>
      </w:r>
      <w:r w:rsidR="004D31BD">
        <w:rPr>
          <w:lang w:val="fr-FR"/>
        </w:rPr>
        <w:t xml:space="preserve"> équipements </w:t>
      </w:r>
      <w:r w:rsidR="00070043">
        <w:rPr>
          <w:lang w:val="fr-FR"/>
        </w:rPr>
        <w:t>de climatisation à air</w:t>
      </w:r>
      <w:r w:rsidR="004D31BD">
        <w:rPr>
          <w:lang w:val="fr-FR"/>
        </w:rPr>
        <w:t xml:space="preserve"> sont 10</w:t>
      </w:r>
      <w:r>
        <w:rPr>
          <w:lang w:val="fr-FR"/>
        </w:rPr>
        <w:t xml:space="preserve"> </w:t>
      </w:r>
      <w:r w:rsidR="004D31BD">
        <w:rPr>
          <w:lang w:val="fr-FR"/>
        </w:rPr>
        <w:t>% plus nombreux que ceux présents en métropole, proportionnellement à la population.</w:t>
      </w:r>
    </w:p>
    <w:p w:rsidR="00070043" w:rsidRDefault="00070043" w:rsidP="00070043">
      <w:pPr>
        <w:jc w:val="both"/>
        <w:rPr>
          <w:lang w:val="fr-FR"/>
        </w:rPr>
      </w:pPr>
      <w:r>
        <w:rPr>
          <w:lang w:val="fr-FR"/>
        </w:rPr>
        <w:t>Selon ces hypothèses, les marchés 2010 estimés sont présentés tableau 10.</w:t>
      </w:r>
    </w:p>
    <w:p w:rsidR="00070043" w:rsidRPr="00AE1334" w:rsidRDefault="00070043" w:rsidP="00070043">
      <w:pPr>
        <w:pStyle w:val="Sous-titre"/>
        <w:spacing w:after="100"/>
        <w:jc w:val="center"/>
        <w:rPr>
          <w:sz w:val="20"/>
          <w:szCs w:val="20"/>
          <w:lang w:val="fr-FR"/>
        </w:rPr>
      </w:pPr>
      <w:r>
        <w:rPr>
          <w:lang w:val="fr-FR"/>
        </w:rPr>
        <w:t>Tableau 10</w:t>
      </w:r>
      <w:r w:rsidRPr="00C8316D">
        <w:rPr>
          <w:lang w:val="fr-FR"/>
        </w:rPr>
        <w:t xml:space="preserve"> – </w:t>
      </w:r>
      <w:r>
        <w:rPr>
          <w:lang w:val="fr-FR"/>
        </w:rPr>
        <w:t>Marches estimes des equipements de climatisation a air</w:t>
      </w:r>
    </w:p>
    <w:tbl>
      <w:tblPr>
        <w:tblStyle w:val="Grilledutableau"/>
        <w:tblW w:w="0" w:type="auto"/>
        <w:jc w:val="center"/>
        <w:tblLook w:val="04A0"/>
      </w:tblPr>
      <w:tblGrid>
        <w:gridCol w:w="1535"/>
        <w:gridCol w:w="841"/>
        <w:gridCol w:w="1134"/>
        <w:gridCol w:w="993"/>
        <w:gridCol w:w="1275"/>
        <w:gridCol w:w="993"/>
        <w:gridCol w:w="993"/>
      </w:tblGrid>
      <w:tr w:rsidR="00702D25" w:rsidTr="005D5075">
        <w:trPr>
          <w:jc w:val="center"/>
        </w:trPr>
        <w:tc>
          <w:tcPr>
            <w:tcW w:w="1535" w:type="dxa"/>
            <w:shd w:val="clear" w:color="auto" w:fill="C6D9F1" w:themeFill="text2" w:themeFillTint="33"/>
            <w:vAlign w:val="center"/>
          </w:tcPr>
          <w:p w:rsidR="00702D25" w:rsidRDefault="00702D25" w:rsidP="005D5075">
            <w:pPr>
              <w:spacing w:before="0"/>
              <w:rPr>
                <w:lang w:val="fr-FR"/>
              </w:rPr>
            </w:pPr>
            <w:bookmarkStart w:id="21" w:name="_Hlk310549511"/>
            <w:r>
              <w:rPr>
                <w:lang w:val="fr-FR"/>
              </w:rPr>
              <w:t>Marchés DOM COM</w:t>
            </w:r>
          </w:p>
        </w:tc>
        <w:tc>
          <w:tcPr>
            <w:tcW w:w="841" w:type="dxa"/>
            <w:shd w:val="clear" w:color="auto" w:fill="C6D9F1" w:themeFill="text2" w:themeFillTint="33"/>
            <w:vAlign w:val="center"/>
          </w:tcPr>
          <w:p w:rsidR="00702D25" w:rsidRDefault="00702D25" w:rsidP="005D5075">
            <w:pPr>
              <w:spacing w:before="0"/>
              <w:jc w:val="center"/>
              <w:rPr>
                <w:lang w:val="fr-FR"/>
              </w:rPr>
            </w:pPr>
            <w:r>
              <w:rPr>
                <w:lang w:val="fr-FR"/>
              </w:rPr>
              <w:t>Mobile</w:t>
            </w:r>
          </w:p>
        </w:tc>
        <w:tc>
          <w:tcPr>
            <w:tcW w:w="1134" w:type="dxa"/>
            <w:shd w:val="clear" w:color="auto" w:fill="C6D9F1" w:themeFill="text2" w:themeFillTint="33"/>
            <w:vAlign w:val="center"/>
          </w:tcPr>
          <w:p w:rsidR="00702D25" w:rsidRDefault="00702D25" w:rsidP="005D5075">
            <w:pPr>
              <w:spacing w:before="0"/>
              <w:jc w:val="center"/>
              <w:rPr>
                <w:lang w:val="fr-FR"/>
              </w:rPr>
            </w:pPr>
            <w:r>
              <w:rPr>
                <w:lang w:val="fr-FR"/>
              </w:rPr>
              <w:t>Windows</w:t>
            </w:r>
          </w:p>
        </w:tc>
        <w:tc>
          <w:tcPr>
            <w:tcW w:w="993" w:type="dxa"/>
            <w:shd w:val="clear" w:color="auto" w:fill="C6D9F1" w:themeFill="text2" w:themeFillTint="33"/>
            <w:vAlign w:val="center"/>
          </w:tcPr>
          <w:p w:rsidR="00702D25" w:rsidRDefault="00702D25" w:rsidP="005D5075">
            <w:pPr>
              <w:spacing w:before="0"/>
              <w:jc w:val="center"/>
              <w:rPr>
                <w:lang w:val="fr-FR"/>
              </w:rPr>
            </w:pPr>
            <w:r>
              <w:rPr>
                <w:lang w:val="fr-FR"/>
              </w:rPr>
              <w:t>Splits</w:t>
            </w:r>
          </w:p>
        </w:tc>
        <w:tc>
          <w:tcPr>
            <w:tcW w:w="1275" w:type="dxa"/>
            <w:shd w:val="clear" w:color="auto" w:fill="C6D9F1" w:themeFill="text2" w:themeFillTint="33"/>
            <w:vAlign w:val="center"/>
          </w:tcPr>
          <w:p w:rsidR="00702D25" w:rsidRDefault="00702D25" w:rsidP="005D5075">
            <w:pPr>
              <w:spacing w:before="0"/>
              <w:jc w:val="center"/>
              <w:rPr>
                <w:lang w:val="fr-FR"/>
              </w:rPr>
            </w:pPr>
            <w:r>
              <w:rPr>
                <w:lang w:val="fr-FR"/>
              </w:rPr>
              <w:t>Multisplits</w:t>
            </w:r>
          </w:p>
        </w:tc>
        <w:tc>
          <w:tcPr>
            <w:tcW w:w="993" w:type="dxa"/>
            <w:shd w:val="clear" w:color="auto" w:fill="C6D9F1" w:themeFill="text2" w:themeFillTint="33"/>
            <w:vAlign w:val="center"/>
          </w:tcPr>
          <w:p w:rsidR="00702D25" w:rsidRDefault="00702D25" w:rsidP="005D5075">
            <w:pPr>
              <w:spacing w:before="0"/>
              <w:jc w:val="center"/>
              <w:rPr>
                <w:lang w:val="fr-FR"/>
              </w:rPr>
            </w:pPr>
            <w:r>
              <w:rPr>
                <w:lang w:val="fr-FR"/>
              </w:rPr>
              <w:t>Rooftops</w:t>
            </w:r>
          </w:p>
        </w:tc>
        <w:tc>
          <w:tcPr>
            <w:tcW w:w="993" w:type="dxa"/>
            <w:shd w:val="clear" w:color="auto" w:fill="C6D9F1" w:themeFill="text2" w:themeFillTint="33"/>
            <w:vAlign w:val="center"/>
          </w:tcPr>
          <w:p w:rsidR="00702D25" w:rsidRDefault="00702D25" w:rsidP="005D5075">
            <w:pPr>
              <w:spacing w:before="0"/>
              <w:jc w:val="center"/>
              <w:rPr>
                <w:lang w:val="fr-FR"/>
              </w:rPr>
            </w:pPr>
            <w:r>
              <w:rPr>
                <w:lang w:val="fr-FR"/>
              </w:rPr>
              <w:t>Central AC</w:t>
            </w:r>
          </w:p>
        </w:tc>
      </w:tr>
      <w:tr w:rsidR="00702D25" w:rsidTr="005D5075">
        <w:trPr>
          <w:jc w:val="center"/>
        </w:trPr>
        <w:tc>
          <w:tcPr>
            <w:tcW w:w="1535" w:type="dxa"/>
            <w:vAlign w:val="center"/>
          </w:tcPr>
          <w:p w:rsidR="00702D25" w:rsidRDefault="00702D25" w:rsidP="005D5075">
            <w:pPr>
              <w:spacing w:before="0"/>
              <w:rPr>
                <w:lang w:val="fr-FR"/>
              </w:rPr>
            </w:pPr>
            <w:r>
              <w:rPr>
                <w:lang w:val="fr-FR"/>
              </w:rPr>
              <w:t>Groupe 1</w:t>
            </w:r>
          </w:p>
        </w:tc>
        <w:tc>
          <w:tcPr>
            <w:tcW w:w="841" w:type="dxa"/>
            <w:vAlign w:val="center"/>
          </w:tcPr>
          <w:p w:rsidR="00702D25" w:rsidRDefault="00702D25" w:rsidP="00C2479D">
            <w:pPr>
              <w:spacing w:before="0"/>
              <w:jc w:val="right"/>
              <w:rPr>
                <w:lang w:val="fr-FR"/>
              </w:rPr>
            </w:pPr>
            <w:r>
              <w:rPr>
                <w:lang w:val="fr-FR"/>
              </w:rPr>
              <w:t>3</w:t>
            </w:r>
            <w:r w:rsidR="00C2479D">
              <w:rPr>
                <w:lang w:val="fr-FR"/>
              </w:rPr>
              <w:t xml:space="preserve"> </w:t>
            </w:r>
            <w:r>
              <w:rPr>
                <w:lang w:val="fr-FR"/>
              </w:rPr>
              <w:t>100</w:t>
            </w:r>
          </w:p>
        </w:tc>
        <w:tc>
          <w:tcPr>
            <w:tcW w:w="1134" w:type="dxa"/>
            <w:vAlign w:val="center"/>
          </w:tcPr>
          <w:p w:rsidR="00702D25" w:rsidRDefault="005D5075" w:rsidP="00C2479D">
            <w:pPr>
              <w:spacing w:before="0"/>
              <w:jc w:val="right"/>
              <w:rPr>
                <w:lang w:val="fr-FR"/>
              </w:rPr>
            </w:pPr>
            <w:r>
              <w:rPr>
                <w:lang w:val="fr-FR"/>
              </w:rPr>
              <w:t>12</w:t>
            </w:r>
            <w:r w:rsidR="00702D25">
              <w:rPr>
                <w:lang w:val="fr-FR"/>
              </w:rPr>
              <w:t>0</w:t>
            </w:r>
          </w:p>
        </w:tc>
        <w:tc>
          <w:tcPr>
            <w:tcW w:w="993" w:type="dxa"/>
            <w:vAlign w:val="center"/>
          </w:tcPr>
          <w:p w:rsidR="00702D25" w:rsidRDefault="00702D25" w:rsidP="00C2479D">
            <w:pPr>
              <w:spacing w:before="0"/>
              <w:jc w:val="right"/>
              <w:rPr>
                <w:lang w:val="fr-FR"/>
              </w:rPr>
            </w:pPr>
            <w:r>
              <w:rPr>
                <w:lang w:val="fr-FR"/>
              </w:rPr>
              <w:t>7 700</w:t>
            </w:r>
          </w:p>
        </w:tc>
        <w:tc>
          <w:tcPr>
            <w:tcW w:w="1275" w:type="dxa"/>
            <w:vAlign w:val="center"/>
          </w:tcPr>
          <w:p w:rsidR="00702D25" w:rsidRDefault="00702D25" w:rsidP="00C2479D">
            <w:pPr>
              <w:spacing w:before="0"/>
              <w:jc w:val="right"/>
              <w:rPr>
                <w:lang w:val="fr-FR"/>
              </w:rPr>
            </w:pPr>
            <w:r>
              <w:rPr>
                <w:lang w:val="fr-FR"/>
              </w:rPr>
              <w:t>3 500</w:t>
            </w:r>
          </w:p>
        </w:tc>
        <w:tc>
          <w:tcPr>
            <w:tcW w:w="993" w:type="dxa"/>
            <w:vAlign w:val="center"/>
          </w:tcPr>
          <w:p w:rsidR="00702D25" w:rsidRDefault="00702D25" w:rsidP="00C2479D">
            <w:pPr>
              <w:spacing w:before="0"/>
              <w:jc w:val="right"/>
              <w:rPr>
                <w:lang w:val="fr-FR"/>
              </w:rPr>
            </w:pPr>
            <w:r>
              <w:rPr>
                <w:lang w:val="fr-FR"/>
              </w:rPr>
              <w:t>2</w:t>
            </w:r>
            <w:r w:rsidR="005D5075">
              <w:rPr>
                <w:lang w:val="fr-FR"/>
              </w:rPr>
              <w:t>5</w:t>
            </w:r>
          </w:p>
        </w:tc>
        <w:tc>
          <w:tcPr>
            <w:tcW w:w="993" w:type="dxa"/>
            <w:vAlign w:val="center"/>
          </w:tcPr>
          <w:p w:rsidR="00702D25" w:rsidRDefault="00702D25" w:rsidP="00C2479D">
            <w:pPr>
              <w:spacing w:before="0"/>
              <w:jc w:val="right"/>
              <w:rPr>
                <w:lang w:val="fr-FR"/>
              </w:rPr>
            </w:pPr>
            <w:r>
              <w:rPr>
                <w:lang w:val="fr-FR"/>
              </w:rPr>
              <w:t>13</w:t>
            </w:r>
            <w:r w:rsidR="005D5075">
              <w:rPr>
                <w:lang w:val="fr-FR"/>
              </w:rPr>
              <w:t>0</w:t>
            </w:r>
          </w:p>
        </w:tc>
      </w:tr>
      <w:tr w:rsidR="00702D25" w:rsidTr="005D5075">
        <w:trPr>
          <w:jc w:val="center"/>
        </w:trPr>
        <w:tc>
          <w:tcPr>
            <w:tcW w:w="1535" w:type="dxa"/>
            <w:vAlign w:val="center"/>
          </w:tcPr>
          <w:p w:rsidR="00702D25" w:rsidRDefault="00702D25" w:rsidP="005D5075">
            <w:pPr>
              <w:spacing w:before="0"/>
              <w:rPr>
                <w:lang w:val="fr-FR"/>
              </w:rPr>
            </w:pPr>
            <w:r>
              <w:rPr>
                <w:lang w:val="fr-FR"/>
              </w:rPr>
              <w:t>Groupe 2</w:t>
            </w:r>
          </w:p>
        </w:tc>
        <w:tc>
          <w:tcPr>
            <w:tcW w:w="841" w:type="dxa"/>
            <w:vAlign w:val="center"/>
          </w:tcPr>
          <w:p w:rsidR="00702D25" w:rsidRDefault="005D5075" w:rsidP="00C2479D">
            <w:pPr>
              <w:spacing w:before="0"/>
              <w:jc w:val="right"/>
              <w:rPr>
                <w:lang w:val="fr-FR"/>
              </w:rPr>
            </w:pPr>
            <w:r>
              <w:rPr>
                <w:lang w:val="fr-FR"/>
              </w:rPr>
              <w:t>1</w:t>
            </w:r>
            <w:r w:rsidR="00C2479D">
              <w:rPr>
                <w:lang w:val="fr-FR"/>
              </w:rPr>
              <w:t xml:space="preserve"> </w:t>
            </w:r>
            <w:r>
              <w:rPr>
                <w:lang w:val="fr-FR"/>
              </w:rPr>
              <w:t>200</w:t>
            </w:r>
          </w:p>
        </w:tc>
        <w:tc>
          <w:tcPr>
            <w:tcW w:w="1134" w:type="dxa"/>
            <w:vAlign w:val="center"/>
          </w:tcPr>
          <w:p w:rsidR="00702D25" w:rsidRDefault="005D5075" w:rsidP="00C2479D">
            <w:pPr>
              <w:spacing w:before="0"/>
              <w:jc w:val="right"/>
              <w:rPr>
                <w:lang w:val="fr-FR"/>
              </w:rPr>
            </w:pPr>
            <w:r>
              <w:rPr>
                <w:lang w:val="fr-FR"/>
              </w:rPr>
              <w:t>45</w:t>
            </w:r>
          </w:p>
        </w:tc>
        <w:tc>
          <w:tcPr>
            <w:tcW w:w="993" w:type="dxa"/>
            <w:vAlign w:val="center"/>
          </w:tcPr>
          <w:p w:rsidR="00702D25" w:rsidRDefault="005D5075" w:rsidP="00C2479D">
            <w:pPr>
              <w:spacing w:before="0"/>
              <w:jc w:val="right"/>
              <w:rPr>
                <w:lang w:val="fr-FR"/>
              </w:rPr>
            </w:pPr>
            <w:r>
              <w:rPr>
                <w:lang w:val="fr-FR"/>
              </w:rPr>
              <w:t>2 950</w:t>
            </w:r>
          </w:p>
        </w:tc>
        <w:tc>
          <w:tcPr>
            <w:tcW w:w="1275" w:type="dxa"/>
            <w:vAlign w:val="center"/>
          </w:tcPr>
          <w:p w:rsidR="00702D25" w:rsidRDefault="005D5075" w:rsidP="00C2479D">
            <w:pPr>
              <w:spacing w:before="0"/>
              <w:jc w:val="right"/>
              <w:rPr>
                <w:lang w:val="fr-FR"/>
              </w:rPr>
            </w:pPr>
            <w:r>
              <w:rPr>
                <w:lang w:val="fr-FR"/>
              </w:rPr>
              <w:t>1 340</w:t>
            </w:r>
          </w:p>
        </w:tc>
        <w:tc>
          <w:tcPr>
            <w:tcW w:w="993" w:type="dxa"/>
            <w:vAlign w:val="center"/>
          </w:tcPr>
          <w:p w:rsidR="00702D25" w:rsidRDefault="005D5075" w:rsidP="00C2479D">
            <w:pPr>
              <w:spacing w:before="0"/>
              <w:jc w:val="right"/>
              <w:rPr>
                <w:lang w:val="fr-FR"/>
              </w:rPr>
            </w:pPr>
            <w:r>
              <w:rPr>
                <w:lang w:val="fr-FR"/>
              </w:rPr>
              <w:t>5</w:t>
            </w:r>
          </w:p>
        </w:tc>
        <w:tc>
          <w:tcPr>
            <w:tcW w:w="993" w:type="dxa"/>
            <w:vAlign w:val="center"/>
          </w:tcPr>
          <w:p w:rsidR="00702D25" w:rsidRDefault="005D5075" w:rsidP="00C2479D">
            <w:pPr>
              <w:spacing w:before="0"/>
              <w:jc w:val="right"/>
              <w:rPr>
                <w:lang w:val="fr-FR"/>
              </w:rPr>
            </w:pPr>
            <w:r>
              <w:rPr>
                <w:lang w:val="fr-FR"/>
              </w:rPr>
              <w:t>50</w:t>
            </w:r>
          </w:p>
        </w:tc>
      </w:tr>
      <w:bookmarkEnd w:id="21"/>
    </w:tbl>
    <w:p w:rsidR="00C8316D" w:rsidRPr="00C8316D" w:rsidRDefault="00C8316D" w:rsidP="00C8316D">
      <w:pPr>
        <w:rPr>
          <w:lang w:val="fr-FR"/>
        </w:rPr>
      </w:pPr>
    </w:p>
    <w:p w:rsidR="00C8316D" w:rsidRPr="00C8316D" w:rsidRDefault="00A43444" w:rsidP="00C8316D">
      <w:pPr>
        <w:pStyle w:val="Titre3"/>
        <w:rPr>
          <w:lang w:val="fr-FR"/>
        </w:rPr>
      </w:pPr>
      <w:bookmarkStart w:id="22" w:name="_Toc310855645"/>
      <w:r>
        <w:rPr>
          <w:lang w:val="fr-FR"/>
        </w:rPr>
        <w:t xml:space="preserve">4.1.6 </w:t>
      </w:r>
      <w:r w:rsidR="00C8316D" w:rsidRPr="00C8316D">
        <w:rPr>
          <w:lang w:val="fr-FR"/>
        </w:rPr>
        <w:t>chillers</w:t>
      </w:r>
      <w:bookmarkEnd w:id="22"/>
    </w:p>
    <w:p w:rsidR="00C8316D" w:rsidRDefault="00E07477" w:rsidP="00C2479D">
      <w:pPr>
        <w:jc w:val="both"/>
        <w:rPr>
          <w:lang w:val="fr-FR"/>
        </w:rPr>
      </w:pPr>
      <w:r>
        <w:rPr>
          <w:lang w:val="fr-FR"/>
        </w:rPr>
        <w:t xml:space="preserve">Etant donné la faible industrialisation des territoires, les « gros » chillers de type centrifuge ou </w:t>
      </w:r>
      <w:r w:rsidR="00C2479D">
        <w:rPr>
          <w:lang w:val="fr-FR"/>
        </w:rPr>
        <w:t>f</w:t>
      </w:r>
      <w:r>
        <w:rPr>
          <w:lang w:val="fr-FR"/>
        </w:rPr>
        <w:t>orte puissance sont supposés inexistants. Faute de données plus précises, les marchés des chillers de faible et moyenne puissance</w:t>
      </w:r>
      <w:r w:rsidR="00C2479D">
        <w:rPr>
          <w:lang w:val="fr-FR"/>
        </w:rPr>
        <w:t>s</w:t>
      </w:r>
      <w:r>
        <w:rPr>
          <w:lang w:val="fr-FR"/>
        </w:rPr>
        <w:t xml:space="preserve"> sont estimés au prorata des populations à partir des données métropole. Les estimations obtenues sont données tableau 11.</w:t>
      </w:r>
    </w:p>
    <w:p w:rsidR="00E07477" w:rsidRPr="00AE1334" w:rsidRDefault="00E07477" w:rsidP="00E07477">
      <w:pPr>
        <w:pStyle w:val="Sous-titre"/>
        <w:spacing w:after="100"/>
        <w:jc w:val="center"/>
        <w:rPr>
          <w:sz w:val="20"/>
          <w:szCs w:val="20"/>
          <w:lang w:val="fr-FR"/>
        </w:rPr>
      </w:pPr>
      <w:r>
        <w:rPr>
          <w:lang w:val="fr-FR"/>
        </w:rPr>
        <w:t>Tableau 11</w:t>
      </w:r>
      <w:r w:rsidRPr="00C8316D">
        <w:rPr>
          <w:lang w:val="fr-FR"/>
        </w:rPr>
        <w:t xml:space="preserve"> – </w:t>
      </w:r>
      <w:r>
        <w:rPr>
          <w:lang w:val="fr-FR"/>
        </w:rPr>
        <w:t>Marches estimes des chillers</w:t>
      </w:r>
    </w:p>
    <w:tbl>
      <w:tblPr>
        <w:tblStyle w:val="Grilledutableau"/>
        <w:tblW w:w="0" w:type="auto"/>
        <w:jc w:val="center"/>
        <w:tblLook w:val="04A0"/>
      </w:tblPr>
      <w:tblGrid>
        <w:gridCol w:w="1535"/>
        <w:gridCol w:w="1638"/>
        <w:gridCol w:w="1514"/>
      </w:tblGrid>
      <w:tr w:rsidR="00E07477" w:rsidTr="00451D73">
        <w:trPr>
          <w:jc w:val="center"/>
        </w:trPr>
        <w:tc>
          <w:tcPr>
            <w:tcW w:w="1535" w:type="dxa"/>
            <w:shd w:val="clear" w:color="auto" w:fill="C6D9F1" w:themeFill="text2" w:themeFillTint="33"/>
            <w:vAlign w:val="center"/>
          </w:tcPr>
          <w:p w:rsidR="00E07477" w:rsidRDefault="00E07477" w:rsidP="00795158">
            <w:pPr>
              <w:spacing w:before="0"/>
              <w:rPr>
                <w:lang w:val="fr-FR"/>
              </w:rPr>
            </w:pPr>
            <w:r>
              <w:rPr>
                <w:lang w:val="fr-FR"/>
              </w:rPr>
              <w:t>Marchés DOM COM</w:t>
            </w:r>
          </w:p>
        </w:tc>
        <w:tc>
          <w:tcPr>
            <w:tcW w:w="1638" w:type="dxa"/>
            <w:shd w:val="clear" w:color="auto" w:fill="C6D9F1" w:themeFill="text2" w:themeFillTint="33"/>
            <w:vAlign w:val="center"/>
          </w:tcPr>
          <w:p w:rsidR="00E07477" w:rsidRDefault="00451D73" w:rsidP="00795158">
            <w:pPr>
              <w:spacing w:before="0"/>
              <w:jc w:val="center"/>
              <w:rPr>
                <w:lang w:val="fr-FR"/>
              </w:rPr>
            </w:pPr>
            <w:r>
              <w:rPr>
                <w:lang w:val="fr-FR"/>
              </w:rPr>
              <w:t>Chillers MP</w:t>
            </w:r>
          </w:p>
        </w:tc>
        <w:tc>
          <w:tcPr>
            <w:tcW w:w="1514" w:type="dxa"/>
            <w:shd w:val="clear" w:color="auto" w:fill="C6D9F1" w:themeFill="text2" w:themeFillTint="33"/>
            <w:vAlign w:val="center"/>
          </w:tcPr>
          <w:p w:rsidR="00E07477" w:rsidRDefault="00451D73" w:rsidP="00795158">
            <w:pPr>
              <w:spacing w:before="0"/>
              <w:jc w:val="center"/>
              <w:rPr>
                <w:lang w:val="fr-FR"/>
              </w:rPr>
            </w:pPr>
            <w:r>
              <w:rPr>
                <w:lang w:val="fr-FR"/>
              </w:rPr>
              <w:t>Chillers BP</w:t>
            </w:r>
          </w:p>
        </w:tc>
      </w:tr>
      <w:tr w:rsidR="00E07477" w:rsidTr="00451D73">
        <w:trPr>
          <w:jc w:val="center"/>
        </w:trPr>
        <w:tc>
          <w:tcPr>
            <w:tcW w:w="1535" w:type="dxa"/>
            <w:vAlign w:val="center"/>
          </w:tcPr>
          <w:p w:rsidR="00E07477" w:rsidRDefault="00E07477" w:rsidP="00795158">
            <w:pPr>
              <w:spacing w:before="0"/>
              <w:rPr>
                <w:lang w:val="fr-FR"/>
              </w:rPr>
            </w:pPr>
            <w:r>
              <w:rPr>
                <w:lang w:val="fr-FR"/>
              </w:rPr>
              <w:t>Groupe 1</w:t>
            </w:r>
          </w:p>
        </w:tc>
        <w:tc>
          <w:tcPr>
            <w:tcW w:w="1638" w:type="dxa"/>
            <w:vAlign w:val="center"/>
          </w:tcPr>
          <w:p w:rsidR="00E07477" w:rsidRDefault="00451D73" w:rsidP="00795158">
            <w:pPr>
              <w:spacing w:before="0"/>
              <w:jc w:val="center"/>
              <w:rPr>
                <w:lang w:val="fr-FR"/>
              </w:rPr>
            </w:pPr>
            <w:r>
              <w:rPr>
                <w:lang w:val="fr-FR"/>
              </w:rPr>
              <w:t>160</w:t>
            </w:r>
          </w:p>
        </w:tc>
        <w:tc>
          <w:tcPr>
            <w:tcW w:w="1514" w:type="dxa"/>
            <w:vAlign w:val="center"/>
          </w:tcPr>
          <w:p w:rsidR="00E07477" w:rsidRDefault="00451D73" w:rsidP="00795158">
            <w:pPr>
              <w:spacing w:before="0"/>
              <w:jc w:val="center"/>
              <w:rPr>
                <w:lang w:val="fr-FR"/>
              </w:rPr>
            </w:pPr>
            <w:r>
              <w:rPr>
                <w:lang w:val="fr-FR"/>
              </w:rPr>
              <w:t>90</w:t>
            </w:r>
          </w:p>
        </w:tc>
      </w:tr>
      <w:tr w:rsidR="00E07477" w:rsidTr="00451D73">
        <w:trPr>
          <w:jc w:val="center"/>
        </w:trPr>
        <w:tc>
          <w:tcPr>
            <w:tcW w:w="1535" w:type="dxa"/>
            <w:vAlign w:val="center"/>
          </w:tcPr>
          <w:p w:rsidR="00E07477" w:rsidRDefault="00E07477" w:rsidP="00795158">
            <w:pPr>
              <w:spacing w:before="0"/>
              <w:rPr>
                <w:lang w:val="fr-FR"/>
              </w:rPr>
            </w:pPr>
            <w:r>
              <w:rPr>
                <w:lang w:val="fr-FR"/>
              </w:rPr>
              <w:t>Groupe 2</w:t>
            </w:r>
          </w:p>
        </w:tc>
        <w:tc>
          <w:tcPr>
            <w:tcW w:w="1638" w:type="dxa"/>
            <w:vAlign w:val="center"/>
          </w:tcPr>
          <w:p w:rsidR="00E07477" w:rsidRDefault="00451D73" w:rsidP="00795158">
            <w:pPr>
              <w:spacing w:before="0"/>
              <w:jc w:val="center"/>
              <w:rPr>
                <w:lang w:val="fr-FR"/>
              </w:rPr>
            </w:pPr>
            <w:r>
              <w:rPr>
                <w:lang w:val="fr-FR"/>
              </w:rPr>
              <w:t>60</w:t>
            </w:r>
          </w:p>
        </w:tc>
        <w:tc>
          <w:tcPr>
            <w:tcW w:w="1514" w:type="dxa"/>
            <w:vAlign w:val="center"/>
          </w:tcPr>
          <w:p w:rsidR="00E07477" w:rsidRDefault="00451D73" w:rsidP="00795158">
            <w:pPr>
              <w:spacing w:before="0"/>
              <w:jc w:val="center"/>
              <w:rPr>
                <w:lang w:val="fr-FR"/>
              </w:rPr>
            </w:pPr>
            <w:r>
              <w:rPr>
                <w:lang w:val="fr-FR"/>
              </w:rPr>
              <w:t>30</w:t>
            </w:r>
          </w:p>
        </w:tc>
      </w:tr>
    </w:tbl>
    <w:p w:rsidR="00E07477" w:rsidRPr="00C8316D" w:rsidRDefault="00E07477" w:rsidP="00C8316D">
      <w:pPr>
        <w:rPr>
          <w:lang w:val="fr-FR"/>
        </w:rPr>
      </w:pPr>
    </w:p>
    <w:p w:rsidR="00C8316D" w:rsidRPr="00C8316D" w:rsidRDefault="00A43444" w:rsidP="00C8316D">
      <w:pPr>
        <w:pStyle w:val="Titre3"/>
        <w:rPr>
          <w:lang w:val="fr-FR"/>
        </w:rPr>
      </w:pPr>
      <w:bookmarkStart w:id="23" w:name="_Toc310855646"/>
      <w:r>
        <w:rPr>
          <w:lang w:val="fr-FR"/>
        </w:rPr>
        <w:t xml:space="preserve">4.1.7 </w:t>
      </w:r>
      <w:r w:rsidR="00C8316D" w:rsidRPr="00C8316D">
        <w:rPr>
          <w:lang w:val="fr-FR"/>
        </w:rPr>
        <w:t>climatisation embarquee</w:t>
      </w:r>
      <w:bookmarkEnd w:id="23"/>
    </w:p>
    <w:p w:rsidR="00853480" w:rsidRDefault="00F47B27" w:rsidP="00F47B27">
      <w:pPr>
        <w:jc w:val="both"/>
        <w:rPr>
          <w:lang w:val="fr-FR"/>
        </w:rPr>
      </w:pPr>
      <w:r>
        <w:rPr>
          <w:lang w:val="fr-FR"/>
        </w:rPr>
        <w:t xml:space="preserve">Le </w:t>
      </w:r>
      <w:r w:rsidR="00C2479D">
        <w:rPr>
          <w:lang w:val="fr-FR"/>
        </w:rPr>
        <w:t>CCFA</w:t>
      </w:r>
      <w:r>
        <w:rPr>
          <w:lang w:val="fr-FR"/>
        </w:rPr>
        <w:t xml:space="preserve"> publie les marchés annuels de véhicules et utilitaires légers pour la Guadeloupe, Guyane, Martinique et Réunion [CCF11].</w:t>
      </w:r>
      <w:r w:rsidR="00C63197">
        <w:rPr>
          <w:lang w:val="fr-FR"/>
        </w:rPr>
        <w:t xml:space="preserve"> </w:t>
      </w:r>
      <w:r>
        <w:rPr>
          <w:lang w:val="fr-FR"/>
        </w:rPr>
        <w:t>Ces données sont utilisées et les marchés sont reconstitués sur le passé en fonction du taux de croissance su</w:t>
      </w:r>
      <w:r w:rsidR="00C63197">
        <w:rPr>
          <w:lang w:val="fr-FR"/>
        </w:rPr>
        <w:t>r la période de</w:t>
      </w:r>
      <w:r>
        <w:rPr>
          <w:lang w:val="fr-FR"/>
        </w:rPr>
        <w:t xml:space="preserve"> 2000</w:t>
      </w:r>
      <w:r w:rsidR="00C63197">
        <w:rPr>
          <w:lang w:val="fr-FR"/>
        </w:rPr>
        <w:t xml:space="preserve"> à </w:t>
      </w:r>
      <w:r>
        <w:rPr>
          <w:lang w:val="fr-FR"/>
        </w:rPr>
        <w:t xml:space="preserve">2005. Pour les autres territoires, les marchés sont estimés au prorata de la population en fonction des données </w:t>
      </w:r>
      <w:r w:rsidR="00C63197">
        <w:rPr>
          <w:lang w:val="fr-FR"/>
        </w:rPr>
        <w:t>du g</w:t>
      </w:r>
      <w:r>
        <w:rPr>
          <w:lang w:val="fr-FR"/>
        </w:rPr>
        <w:t>roupe1.</w:t>
      </w:r>
    </w:p>
    <w:p w:rsidR="0087543C" w:rsidRDefault="0087543C" w:rsidP="00F47B27">
      <w:pPr>
        <w:jc w:val="both"/>
        <w:rPr>
          <w:lang w:val="fr-FR"/>
        </w:rPr>
      </w:pPr>
      <w:r>
        <w:rPr>
          <w:lang w:val="fr-FR"/>
        </w:rPr>
        <w:t xml:space="preserve">De même, le </w:t>
      </w:r>
      <w:r w:rsidR="00C63197">
        <w:rPr>
          <w:lang w:val="fr-FR"/>
        </w:rPr>
        <w:t>CCFA</w:t>
      </w:r>
      <w:r>
        <w:rPr>
          <w:lang w:val="fr-FR"/>
        </w:rPr>
        <w:t xml:space="preserve"> fournit les </w:t>
      </w:r>
      <w:r w:rsidR="00C63197">
        <w:rPr>
          <w:lang w:val="fr-FR"/>
        </w:rPr>
        <w:t>ventes de véhicules industriel</w:t>
      </w:r>
      <w:r>
        <w:rPr>
          <w:lang w:val="fr-FR"/>
        </w:rPr>
        <w:t>s de plus de 5</w:t>
      </w:r>
      <w:r w:rsidR="00C63197">
        <w:rPr>
          <w:lang w:val="fr-FR"/>
        </w:rPr>
        <w:t xml:space="preserve"> </w:t>
      </w:r>
      <w:r>
        <w:rPr>
          <w:lang w:val="fr-FR"/>
        </w:rPr>
        <w:t xml:space="preserve">t dans les DOM mais en incluant les bus et </w:t>
      </w:r>
      <w:r w:rsidR="00327A01">
        <w:rPr>
          <w:lang w:val="fr-FR"/>
        </w:rPr>
        <w:t>auto</w:t>
      </w:r>
      <w:r>
        <w:rPr>
          <w:lang w:val="fr-FR"/>
        </w:rPr>
        <w:t xml:space="preserve">cars. Selon [REU11], 70 </w:t>
      </w:r>
      <w:r w:rsidR="00327A01">
        <w:rPr>
          <w:lang w:val="fr-FR"/>
        </w:rPr>
        <w:t>auto</w:t>
      </w:r>
      <w:r>
        <w:rPr>
          <w:lang w:val="fr-FR"/>
        </w:rPr>
        <w:t>cars circul</w:t>
      </w:r>
      <w:r w:rsidR="00C63197">
        <w:rPr>
          <w:lang w:val="fr-FR"/>
        </w:rPr>
        <w:t>ai</w:t>
      </w:r>
      <w:r>
        <w:rPr>
          <w:lang w:val="fr-FR"/>
        </w:rPr>
        <w:t>ent en 2010 à la réunion. En c</w:t>
      </w:r>
      <w:r w:rsidR="00327A01">
        <w:rPr>
          <w:lang w:val="fr-FR"/>
        </w:rPr>
        <w:t>onsidérant ce ratio du nombre d’auto</w:t>
      </w:r>
      <w:r>
        <w:rPr>
          <w:lang w:val="fr-FR"/>
        </w:rPr>
        <w:t xml:space="preserve">cars par habitant, la flotte </w:t>
      </w:r>
      <w:r w:rsidR="00327A01">
        <w:rPr>
          <w:lang w:val="fr-FR"/>
        </w:rPr>
        <w:t>d’autocars</w:t>
      </w:r>
      <w:r>
        <w:rPr>
          <w:lang w:val="fr-FR"/>
        </w:rPr>
        <w:t xml:space="preserve"> a été estimée, ainsi que celles des VI des DOM. Les autres marchés ont été estimés à partir des statistiques DOM, au prorata des populations.</w:t>
      </w:r>
    </w:p>
    <w:p w:rsidR="0087543C" w:rsidRDefault="0087543C" w:rsidP="0087543C">
      <w:pPr>
        <w:jc w:val="both"/>
        <w:rPr>
          <w:lang w:val="fr-FR"/>
        </w:rPr>
      </w:pPr>
      <w:r>
        <w:rPr>
          <w:lang w:val="fr-FR"/>
        </w:rPr>
        <w:t>S</w:t>
      </w:r>
      <w:r w:rsidRPr="00C8316D">
        <w:rPr>
          <w:lang w:val="fr-FR"/>
        </w:rPr>
        <w:t>elon la SNCF</w:t>
      </w:r>
      <w:r>
        <w:rPr>
          <w:lang w:val="fr-FR"/>
        </w:rPr>
        <w:t xml:space="preserve"> (PAS11], aucun réseau ferré n’existe dans les DOM COM</w:t>
      </w:r>
      <w:r w:rsidRPr="00C8316D">
        <w:rPr>
          <w:lang w:val="fr-FR"/>
        </w:rPr>
        <w:t>.</w:t>
      </w:r>
      <w:r>
        <w:rPr>
          <w:lang w:val="fr-FR"/>
        </w:rPr>
        <w:t xml:space="preserve"> Un est e</w:t>
      </w:r>
      <w:r w:rsidRPr="00C8316D">
        <w:rPr>
          <w:lang w:val="fr-FR"/>
        </w:rPr>
        <w:t xml:space="preserve">n projet à la </w:t>
      </w:r>
      <w:r>
        <w:rPr>
          <w:lang w:val="fr-FR"/>
        </w:rPr>
        <w:t>R</w:t>
      </w:r>
      <w:r w:rsidRPr="00C8316D">
        <w:rPr>
          <w:lang w:val="fr-FR"/>
        </w:rPr>
        <w:t>éunion.</w:t>
      </w:r>
    </w:p>
    <w:p w:rsidR="0087543C" w:rsidRDefault="00C63197" w:rsidP="0087543C">
      <w:pPr>
        <w:jc w:val="both"/>
        <w:rPr>
          <w:lang w:val="fr-FR"/>
        </w:rPr>
      </w:pPr>
      <w:r>
        <w:rPr>
          <w:lang w:val="fr-FR"/>
        </w:rPr>
        <w:t>Les marchés résultant</w:t>
      </w:r>
      <w:r w:rsidR="0087543C">
        <w:rPr>
          <w:lang w:val="fr-FR"/>
        </w:rPr>
        <w:t xml:space="preserve"> de</w:t>
      </w:r>
      <w:r>
        <w:rPr>
          <w:lang w:val="fr-FR"/>
        </w:rPr>
        <w:t>s</w:t>
      </w:r>
      <w:r w:rsidR="0087543C">
        <w:rPr>
          <w:lang w:val="fr-FR"/>
        </w:rPr>
        <w:t xml:space="preserve"> données et hypothèses sont présentés tableau 12.</w:t>
      </w:r>
    </w:p>
    <w:p w:rsidR="0087543C" w:rsidRPr="00AE1334" w:rsidRDefault="0087543C" w:rsidP="0087543C">
      <w:pPr>
        <w:pStyle w:val="Sous-titre"/>
        <w:spacing w:after="100"/>
        <w:jc w:val="center"/>
        <w:rPr>
          <w:sz w:val="20"/>
          <w:szCs w:val="20"/>
          <w:lang w:val="fr-FR"/>
        </w:rPr>
      </w:pPr>
      <w:r>
        <w:rPr>
          <w:lang w:val="fr-FR"/>
        </w:rPr>
        <w:t>Tableau 12</w:t>
      </w:r>
      <w:r w:rsidRPr="00C8316D">
        <w:rPr>
          <w:lang w:val="fr-FR"/>
        </w:rPr>
        <w:t xml:space="preserve"> – </w:t>
      </w:r>
      <w:r>
        <w:rPr>
          <w:lang w:val="fr-FR"/>
        </w:rPr>
        <w:t>Marches AUTomobiles 2010</w:t>
      </w:r>
    </w:p>
    <w:tbl>
      <w:tblPr>
        <w:tblStyle w:val="Grilledutableau"/>
        <w:tblW w:w="0" w:type="auto"/>
        <w:jc w:val="center"/>
        <w:tblLook w:val="04A0"/>
      </w:tblPr>
      <w:tblGrid>
        <w:gridCol w:w="1535"/>
        <w:gridCol w:w="1638"/>
        <w:gridCol w:w="1514"/>
        <w:gridCol w:w="1514"/>
        <w:gridCol w:w="1514"/>
      </w:tblGrid>
      <w:tr w:rsidR="0087543C" w:rsidTr="00795158">
        <w:trPr>
          <w:jc w:val="center"/>
        </w:trPr>
        <w:tc>
          <w:tcPr>
            <w:tcW w:w="1535" w:type="dxa"/>
            <w:shd w:val="clear" w:color="auto" w:fill="C6D9F1" w:themeFill="text2" w:themeFillTint="33"/>
            <w:vAlign w:val="center"/>
          </w:tcPr>
          <w:p w:rsidR="0087543C" w:rsidRDefault="0087543C" w:rsidP="00795158">
            <w:pPr>
              <w:spacing w:before="0"/>
              <w:rPr>
                <w:lang w:val="fr-FR"/>
              </w:rPr>
            </w:pPr>
            <w:r>
              <w:rPr>
                <w:lang w:val="fr-FR"/>
              </w:rPr>
              <w:t>Marchés DOM COM</w:t>
            </w:r>
          </w:p>
        </w:tc>
        <w:tc>
          <w:tcPr>
            <w:tcW w:w="1638" w:type="dxa"/>
            <w:shd w:val="clear" w:color="auto" w:fill="C6D9F1" w:themeFill="text2" w:themeFillTint="33"/>
            <w:vAlign w:val="center"/>
          </w:tcPr>
          <w:p w:rsidR="0087543C" w:rsidRDefault="0087543C" w:rsidP="00795158">
            <w:pPr>
              <w:spacing w:before="0"/>
              <w:jc w:val="center"/>
              <w:rPr>
                <w:lang w:val="fr-FR"/>
              </w:rPr>
            </w:pPr>
            <w:r>
              <w:rPr>
                <w:lang w:val="fr-FR"/>
              </w:rPr>
              <w:t>Véhicules Particuliers et Utilitaires Légers (VUL)</w:t>
            </w:r>
          </w:p>
        </w:tc>
        <w:tc>
          <w:tcPr>
            <w:tcW w:w="1514" w:type="dxa"/>
            <w:shd w:val="clear" w:color="auto" w:fill="C6D9F1" w:themeFill="text2" w:themeFillTint="33"/>
            <w:vAlign w:val="center"/>
          </w:tcPr>
          <w:p w:rsidR="0087543C" w:rsidRDefault="0087543C" w:rsidP="00795158">
            <w:pPr>
              <w:spacing w:before="0"/>
              <w:jc w:val="center"/>
              <w:rPr>
                <w:lang w:val="fr-FR"/>
              </w:rPr>
            </w:pPr>
            <w:r>
              <w:rPr>
                <w:lang w:val="fr-FR"/>
              </w:rPr>
              <w:t>Véhicules Industriels (VI)</w:t>
            </w:r>
          </w:p>
        </w:tc>
        <w:tc>
          <w:tcPr>
            <w:tcW w:w="1514" w:type="dxa"/>
            <w:shd w:val="clear" w:color="auto" w:fill="C6D9F1" w:themeFill="text2" w:themeFillTint="33"/>
            <w:vAlign w:val="center"/>
          </w:tcPr>
          <w:p w:rsidR="0087543C" w:rsidRDefault="0087543C" w:rsidP="00795158">
            <w:pPr>
              <w:spacing w:before="0"/>
              <w:jc w:val="center"/>
              <w:rPr>
                <w:lang w:val="fr-FR"/>
              </w:rPr>
            </w:pPr>
            <w:r>
              <w:rPr>
                <w:lang w:val="fr-FR"/>
              </w:rPr>
              <w:t>Cars et bus</w:t>
            </w:r>
          </w:p>
        </w:tc>
        <w:tc>
          <w:tcPr>
            <w:tcW w:w="1514" w:type="dxa"/>
            <w:shd w:val="clear" w:color="auto" w:fill="C6D9F1" w:themeFill="text2" w:themeFillTint="33"/>
            <w:vAlign w:val="center"/>
          </w:tcPr>
          <w:p w:rsidR="0087543C" w:rsidRDefault="0087543C" w:rsidP="00795158">
            <w:pPr>
              <w:spacing w:before="0"/>
              <w:jc w:val="center"/>
              <w:rPr>
                <w:lang w:val="fr-FR"/>
              </w:rPr>
            </w:pPr>
            <w:r>
              <w:rPr>
                <w:lang w:val="fr-FR"/>
              </w:rPr>
              <w:t>Trains</w:t>
            </w:r>
          </w:p>
        </w:tc>
      </w:tr>
      <w:tr w:rsidR="0087543C" w:rsidTr="00795158">
        <w:trPr>
          <w:jc w:val="center"/>
        </w:trPr>
        <w:tc>
          <w:tcPr>
            <w:tcW w:w="1535" w:type="dxa"/>
            <w:vAlign w:val="center"/>
          </w:tcPr>
          <w:p w:rsidR="0087543C" w:rsidRDefault="0087543C" w:rsidP="00795158">
            <w:pPr>
              <w:spacing w:before="0"/>
              <w:rPr>
                <w:lang w:val="fr-FR"/>
              </w:rPr>
            </w:pPr>
            <w:r>
              <w:rPr>
                <w:lang w:val="fr-FR"/>
              </w:rPr>
              <w:t>Groupe 1</w:t>
            </w:r>
          </w:p>
        </w:tc>
        <w:tc>
          <w:tcPr>
            <w:tcW w:w="1638" w:type="dxa"/>
            <w:vAlign w:val="center"/>
          </w:tcPr>
          <w:p w:rsidR="0087543C" w:rsidRDefault="00701A1B" w:rsidP="00795158">
            <w:pPr>
              <w:spacing w:before="0"/>
              <w:jc w:val="center"/>
              <w:rPr>
                <w:lang w:val="fr-FR"/>
              </w:rPr>
            </w:pPr>
            <w:r>
              <w:rPr>
                <w:lang w:val="fr-FR"/>
              </w:rPr>
              <w:t>61 380</w:t>
            </w:r>
          </w:p>
        </w:tc>
        <w:tc>
          <w:tcPr>
            <w:tcW w:w="1514" w:type="dxa"/>
            <w:vAlign w:val="center"/>
          </w:tcPr>
          <w:p w:rsidR="0087543C" w:rsidRDefault="008203B6" w:rsidP="00795158">
            <w:pPr>
              <w:spacing w:before="0"/>
              <w:jc w:val="center"/>
              <w:rPr>
                <w:lang w:val="fr-FR"/>
              </w:rPr>
            </w:pPr>
            <w:r>
              <w:rPr>
                <w:lang w:val="fr-FR"/>
              </w:rPr>
              <w:t>600</w:t>
            </w:r>
          </w:p>
        </w:tc>
        <w:tc>
          <w:tcPr>
            <w:tcW w:w="1514" w:type="dxa"/>
            <w:vAlign w:val="center"/>
          </w:tcPr>
          <w:p w:rsidR="0087543C" w:rsidRDefault="008203B6" w:rsidP="00795158">
            <w:pPr>
              <w:spacing w:before="0"/>
              <w:jc w:val="center"/>
              <w:rPr>
                <w:lang w:val="fr-FR"/>
              </w:rPr>
            </w:pPr>
            <w:r>
              <w:rPr>
                <w:lang w:val="fr-FR"/>
              </w:rPr>
              <w:t>11</w:t>
            </w:r>
          </w:p>
        </w:tc>
        <w:tc>
          <w:tcPr>
            <w:tcW w:w="1514" w:type="dxa"/>
            <w:vAlign w:val="center"/>
          </w:tcPr>
          <w:p w:rsidR="0087543C" w:rsidRDefault="008203B6" w:rsidP="00795158">
            <w:pPr>
              <w:spacing w:before="0"/>
              <w:jc w:val="center"/>
              <w:rPr>
                <w:lang w:val="fr-FR"/>
              </w:rPr>
            </w:pPr>
            <w:r>
              <w:rPr>
                <w:lang w:val="fr-FR"/>
              </w:rPr>
              <w:t>0</w:t>
            </w:r>
          </w:p>
        </w:tc>
      </w:tr>
      <w:tr w:rsidR="0087543C" w:rsidTr="00795158">
        <w:trPr>
          <w:jc w:val="center"/>
        </w:trPr>
        <w:tc>
          <w:tcPr>
            <w:tcW w:w="1535" w:type="dxa"/>
            <w:vAlign w:val="center"/>
          </w:tcPr>
          <w:p w:rsidR="0087543C" w:rsidRDefault="0087543C" w:rsidP="00795158">
            <w:pPr>
              <w:spacing w:before="0"/>
              <w:rPr>
                <w:lang w:val="fr-FR"/>
              </w:rPr>
            </w:pPr>
            <w:r>
              <w:rPr>
                <w:lang w:val="fr-FR"/>
              </w:rPr>
              <w:t>Groupe 2</w:t>
            </w:r>
          </w:p>
        </w:tc>
        <w:tc>
          <w:tcPr>
            <w:tcW w:w="1638" w:type="dxa"/>
            <w:vAlign w:val="center"/>
          </w:tcPr>
          <w:p w:rsidR="0087543C" w:rsidRDefault="00701A1B" w:rsidP="00795158">
            <w:pPr>
              <w:spacing w:before="0"/>
              <w:jc w:val="center"/>
              <w:rPr>
                <w:lang w:val="fr-FR"/>
              </w:rPr>
            </w:pPr>
            <w:r>
              <w:rPr>
                <w:lang w:val="fr-FR"/>
              </w:rPr>
              <w:t>23 450</w:t>
            </w:r>
          </w:p>
        </w:tc>
        <w:tc>
          <w:tcPr>
            <w:tcW w:w="1514" w:type="dxa"/>
            <w:vAlign w:val="center"/>
          </w:tcPr>
          <w:p w:rsidR="0087543C" w:rsidRDefault="008203B6" w:rsidP="00795158">
            <w:pPr>
              <w:spacing w:before="0"/>
              <w:jc w:val="center"/>
              <w:rPr>
                <w:lang w:val="fr-FR"/>
              </w:rPr>
            </w:pPr>
            <w:r>
              <w:rPr>
                <w:lang w:val="fr-FR"/>
              </w:rPr>
              <w:t>230</w:t>
            </w:r>
          </w:p>
        </w:tc>
        <w:tc>
          <w:tcPr>
            <w:tcW w:w="1514" w:type="dxa"/>
            <w:vAlign w:val="center"/>
          </w:tcPr>
          <w:p w:rsidR="0087543C" w:rsidRDefault="008203B6" w:rsidP="00795158">
            <w:pPr>
              <w:spacing w:before="0"/>
              <w:jc w:val="center"/>
              <w:rPr>
                <w:lang w:val="fr-FR"/>
              </w:rPr>
            </w:pPr>
            <w:r>
              <w:rPr>
                <w:lang w:val="fr-FR"/>
              </w:rPr>
              <w:t>4</w:t>
            </w:r>
          </w:p>
        </w:tc>
        <w:tc>
          <w:tcPr>
            <w:tcW w:w="1514" w:type="dxa"/>
            <w:vAlign w:val="center"/>
          </w:tcPr>
          <w:p w:rsidR="0087543C" w:rsidRDefault="008203B6" w:rsidP="00795158">
            <w:pPr>
              <w:spacing w:before="0"/>
              <w:jc w:val="center"/>
              <w:rPr>
                <w:lang w:val="fr-FR"/>
              </w:rPr>
            </w:pPr>
            <w:r>
              <w:rPr>
                <w:lang w:val="fr-FR"/>
              </w:rPr>
              <w:t>0</w:t>
            </w:r>
          </w:p>
        </w:tc>
      </w:tr>
    </w:tbl>
    <w:p w:rsidR="00F47B27" w:rsidRPr="00C8316D" w:rsidRDefault="0087543C" w:rsidP="00ED5891">
      <w:pPr>
        <w:jc w:val="both"/>
        <w:rPr>
          <w:lang w:val="fr-FR"/>
        </w:rPr>
      </w:pPr>
      <w:r>
        <w:rPr>
          <w:lang w:val="fr-FR"/>
        </w:rPr>
        <w:t xml:space="preserve">La courbe de pénétration de la climatisation sur le marché automobile a été supposée </w:t>
      </w:r>
      <w:r w:rsidR="00723836">
        <w:rPr>
          <w:lang w:val="fr-FR"/>
        </w:rPr>
        <w:t>de même allure que celle de la métropole mais avec un niveau supérieur de 5</w:t>
      </w:r>
      <w:r w:rsidR="00C63197">
        <w:rPr>
          <w:lang w:val="fr-FR"/>
        </w:rPr>
        <w:t xml:space="preserve"> </w:t>
      </w:r>
      <w:r w:rsidR="00723836">
        <w:rPr>
          <w:lang w:val="fr-FR"/>
        </w:rPr>
        <w:t>% pour tenir compte du climat.</w:t>
      </w:r>
      <w:r w:rsidR="00ED5891">
        <w:rPr>
          <w:lang w:val="fr-FR"/>
        </w:rPr>
        <w:t xml:space="preserve"> Pour les bus et VI, la même courbe d’introduction qu’en Métropole a été prise en compte.</w:t>
      </w:r>
    </w:p>
    <w:p w:rsidR="00853480" w:rsidRPr="00C8316D" w:rsidRDefault="00853480" w:rsidP="00853480">
      <w:pPr>
        <w:rPr>
          <w:lang w:val="fr-FR"/>
        </w:rPr>
      </w:pPr>
    </w:p>
    <w:p w:rsidR="00853480" w:rsidRPr="00C8316D" w:rsidRDefault="00F54083" w:rsidP="00F54083">
      <w:pPr>
        <w:pStyle w:val="Titre2"/>
        <w:rPr>
          <w:lang w:val="fr-FR"/>
        </w:rPr>
      </w:pPr>
      <w:bookmarkStart w:id="24" w:name="_Toc310855647"/>
      <w:r w:rsidRPr="00C8316D">
        <w:rPr>
          <w:lang w:val="fr-FR"/>
        </w:rPr>
        <w:t>4.2</w:t>
      </w:r>
      <w:r w:rsidR="00A43444">
        <w:rPr>
          <w:lang w:val="fr-FR"/>
        </w:rPr>
        <w:t xml:space="preserve"> </w:t>
      </w:r>
      <w:r w:rsidR="00853480" w:rsidRPr="00C8316D">
        <w:rPr>
          <w:lang w:val="fr-FR"/>
        </w:rPr>
        <w:t>Hypothèses 2010</w:t>
      </w:r>
      <w:bookmarkEnd w:id="24"/>
    </w:p>
    <w:p w:rsidR="00C9663A" w:rsidRDefault="00C9663A" w:rsidP="00853480">
      <w:pPr>
        <w:jc w:val="both"/>
        <w:rPr>
          <w:lang w:val="fr-FR"/>
        </w:rPr>
      </w:pPr>
      <w:r>
        <w:rPr>
          <w:lang w:val="fr-FR"/>
        </w:rPr>
        <w:t xml:space="preserve">Parmi les hypothèses, les durées de vie et les charges moyennes ont été fixées aux mêmes valeurs pour les deux groupes de territoire. </w:t>
      </w:r>
    </w:p>
    <w:p w:rsidR="00853480" w:rsidRDefault="00327A01" w:rsidP="00327A01">
      <w:pPr>
        <w:pStyle w:val="Paragraphedeliste"/>
        <w:numPr>
          <w:ilvl w:val="0"/>
          <w:numId w:val="9"/>
        </w:numPr>
        <w:jc w:val="both"/>
        <w:rPr>
          <w:lang w:val="fr-FR"/>
        </w:rPr>
      </w:pPr>
      <w:r>
        <w:rPr>
          <w:lang w:val="fr-FR"/>
        </w:rPr>
        <w:lastRenderedPageBreak/>
        <w:t>Pour</w:t>
      </w:r>
      <w:r w:rsidR="00C9663A" w:rsidRPr="00C9663A">
        <w:rPr>
          <w:lang w:val="fr-FR"/>
        </w:rPr>
        <w:t xml:space="preserve"> la charge, il s’agit des valeurs caractérisant les équipements de la métropole, en supposant que le même type de technologies </w:t>
      </w:r>
      <w:r w:rsidR="007C3F07" w:rsidRPr="00C9663A">
        <w:rPr>
          <w:lang w:val="fr-FR"/>
        </w:rPr>
        <w:t xml:space="preserve">qu’en </w:t>
      </w:r>
      <w:r w:rsidR="007C3F07">
        <w:rPr>
          <w:lang w:val="fr-FR"/>
        </w:rPr>
        <w:t>m</w:t>
      </w:r>
      <w:r w:rsidR="007C3F07" w:rsidRPr="00C9663A">
        <w:rPr>
          <w:lang w:val="fr-FR"/>
        </w:rPr>
        <w:t xml:space="preserve">étropole </w:t>
      </w:r>
      <w:r w:rsidR="00C9663A" w:rsidRPr="00C9663A">
        <w:rPr>
          <w:lang w:val="fr-FR"/>
        </w:rPr>
        <w:t xml:space="preserve">étaient mises sur le marché dans les DOM COM </w:t>
      </w:r>
      <w:r w:rsidR="009F38AE">
        <w:rPr>
          <w:lang w:val="fr-FR"/>
        </w:rPr>
        <w:t>[BAR11]</w:t>
      </w:r>
      <w:r w:rsidR="00C9663A" w:rsidRPr="00C9663A">
        <w:rPr>
          <w:lang w:val="fr-FR"/>
        </w:rPr>
        <w:t>.</w:t>
      </w:r>
    </w:p>
    <w:p w:rsidR="00C9663A" w:rsidRPr="00C9663A" w:rsidRDefault="00C9663A" w:rsidP="00327A01">
      <w:pPr>
        <w:pStyle w:val="Paragraphedeliste"/>
        <w:numPr>
          <w:ilvl w:val="0"/>
          <w:numId w:val="9"/>
        </w:numPr>
        <w:jc w:val="both"/>
        <w:rPr>
          <w:lang w:val="fr-FR"/>
        </w:rPr>
      </w:pPr>
      <w:r>
        <w:rPr>
          <w:lang w:val="fr-FR"/>
        </w:rPr>
        <w:t xml:space="preserve">Les durées de vie des équipements ont été allongées dans le cas des DOM COM afin de tenir compte d’un niveau de vie moins élevé qu’en </w:t>
      </w:r>
      <w:r w:rsidR="007C3F07">
        <w:rPr>
          <w:lang w:val="fr-FR"/>
        </w:rPr>
        <w:t>m</w:t>
      </w:r>
      <w:r>
        <w:rPr>
          <w:lang w:val="fr-FR"/>
        </w:rPr>
        <w:t xml:space="preserve">étropole, comme on le voit tableau </w:t>
      </w:r>
      <w:r w:rsidR="008203B6">
        <w:rPr>
          <w:lang w:val="fr-FR"/>
        </w:rPr>
        <w:t>13</w:t>
      </w:r>
      <w:r>
        <w:rPr>
          <w:lang w:val="fr-FR"/>
        </w:rPr>
        <w:t>. Pour information</w:t>
      </w:r>
      <w:r w:rsidR="007C3F07">
        <w:rPr>
          <w:lang w:val="fr-FR"/>
        </w:rPr>
        <w:t>,</w:t>
      </w:r>
      <w:r>
        <w:rPr>
          <w:lang w:val="fr-FR"/>
        </w:rPr>
        <w:t xml:space="preserve"> les hypothèses prises </w:t>
      </w:r>
      <w:r w:rsidR="007C3F07">
        <w:rPr>
          <w:lang w:val="fr-FR"/>
        </w:rPr>
        <w:t>pour</w:t>
      </w:r>
      <w:r>
        <w:rPr>
          <w:lang w:val="fr-FR"/>
        </w:rPr>
        <w:t xml:space="preserve"> </w:t>
      </w:r>
      <w:r w:rsidR="007C3F07">
        <w:rPr>
          <w:lang w:val="fr-FR"/>
        </w:rPr>
        <w:t>les</w:t>
      </w:r>
      <w:r>
        <w:rPr>
          <w:lang w:val="fr-FR"/>
        </w:rPr>
        <w:t xml:space="preserve"> calculs dans des pays de type « A5 » </w:t>
      </w:r>
      <w:r w:rsidR="007C3F07">
        <w:rPr>
          <w:lang w:val="fr-FR"/>
        </w:rPr>
        <w:t>s</w:t>
      </w:r>
      <w:r>
        <w:rPr>
          <w:lang w:val="fr-FR"/>
        </w:rPr>
        <w:t>ont rappelées.</w:t>
      </w:r>
    </w:p>
    <w:p w:rsidR="000B494D" w:rsidRPr="000B494D" w:rsidRDefault="000B494D" w:rsidP="00D60980">
      <w:pPr>
        <w:pStyle w:val="Sous-titre"/>
        <w:spacing w:after="100"/>
        <w:ind w:left="720"/>
        <w:jc w:val="center"/>
        <w:rPr>
          <w:sz w:val="20"/>
          <w:szCs w:val="20"/>
          <w:lang w:val="fr-FR"/>
        </w:rPr>
      </w:pPr>
      <w:r>
        <w:rPr>
          <w:lang w:val="fr-FR"/>
        </w:rPr>
        <w:t xml:space="preserve">Tableau </w:t>
      </w:r>
      <w:r w:rsidR="008203B6">
        <w:rPr>
          <w:lang w:val="fr-FR"/>
        </w:rPr>
        <w:t>13</w:t>
      </w:r>
      <w:r w:rsidRPr="00C8316D">
        <w:rPr>
          <w:lang w:val="fr-FR"/>
        </w:rPr>
        <w:t xml:space="preserve"> – </w:t>
      </w:r>
      <w:r w:rsidR="009F38AE">
        <w:rPr>
          <w:lang w:val="fr-FR"/>
        </w:rPr>
        <w:t>durees de vie moyennes par secteur</w:t>
      </w:r>
    </w:p>
    <w:tbl>
      <w:tblPr>
        <w:tblW w:w="8237" w:type="dxa"/>
        <w:jc w:val="center"/>
        <w:tblInd w:w="55" w:type="dxa"/>
        <w:tblCellMar>
          <w:left w:w="70" w:type="dxa"/>
          <w:right w:w="70" w:type="dxa"/>
        </w:tblCellMar>
        <w:tblLook w:val="04A0"/>
      </w:tblPr>
      <w:tblGrid>
        <w:gridCol w:w="2709"/>
        <w:gridCol w:w="1417"/>
        <w:gridCol w:w="1701"/>
        <w:gridCol w:w="2410"/>
      </w:tblGrid>
      <w:tr w:rsidR="00853480" w:rsidRPr="00C9663A" w:rsidTr="009F38AE">
        <w:trPr>
          <w:trHeight w:val="255"/>
          <w:jc w:val="center"/>
        </w:trPr>
        <w:tc>
          <w:tcPr>
            <w:tcW w:w="2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853480" w:rsidRPr="00C9663A" w:rsidRDefault="009F38AE" w:rsidP="00C9663A">
            <w:pPr>
              <w:spacing w:before="0" w:after="0" w:line="240" w:lineRule="auto"/>
              <w:jc w:val="center"/>
              <w:rPr>
                <w:rFonts w:eastAsia="Times New Roman" w:cstheme="minorHAnsi"/>
                <w:sz w:val="18"/>
                <w:szCs w:val="18"/>
                <w:lang w:val="fr-FR" w:eastAsia="fr-FR"/>
              </w:rPr>
            </w:pPr>
            <w:r>
              <w:rPr>
                <w:rFonts w:eastAsia="Times New Roman" w:cstheme="minorHAnsi"/>
                <w:sz w:val="18"/>
                <w:szCs w:val="18"/>
                <w:lang w:val="fr-FR" w:eastAsia="fr-FR"/>
              </w:rPr>
              <w:t>Durée de vie moyenne</w:t>
            </w:r>
            <w:r w:rsidR="00853480" w:rsidRPr="00C9663A">
              <w:rPr>
                <w:rFonts w:eastAsia="Times New Roman" w:cstheme="minorHAnsi"/>
                <w:sz w:val="18"/>
                <w:szCs w:val="18"/>
                <w:lang w:val="fr-FR" w:eastAsia="fr-FR"/>
              </w:rPr>
              <w:t> (ans)</w:t>
            </w:r>
          </w:p>
        </w:tc>
        <w:tc>
          <w:tcPr>
            <w:tcW w:w="1417"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Métropole</w:t>
            </w:r>
          </w:p>
        </w:tc>
        <w:tc>
          <w:tcPr>
            <w:tcW w:w="170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A5 Chine</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DOM COM</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9F38AE" w:rsidP="00C9663A">
            <w:pPr>
              <w:spacing w:before="0" w:after="0" w:line="240" w:lineRule="auto"/>
              <w:jc w:val="center"/>
              <w:rPr>
                <w:rFonts w:eastAsia="Times New Roman" w:cstheme="minorHAnsi"/>
                <w:sz w:val="18"/>
                <w:szCs w:val="18"/>
                <w:lang w:val="fr-FR" w:eastAsia="fr-FR"/>
              </w:rPr>
            </w:pPr>
            <w:r>
              <w:rPr>
                <w:rFonts w:eastAsia="Times New Roman" w:cstheme="minorHAnsi"/>
                <w:sz w:val="18"/>
                <w:szCs w:val="18"/>
                <w:lang w:val="fr-FR" w:eastAsia="fr-FR"/>
              </w:rPr>
              <w:t>Domestique</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20</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b/>
                <w:bCs/>
                <w:sz w:val="18"/>
                <w:szCs w:val="18"/>
                <w:lang w:val="fr-FR" w:eastAsia="fr-FR"/>
              </w:rPr>
            </w:pPr>
            <w:r w:rsidRPr="00C9663A">
              <w:rPr>
                <w:rFonts w:eastAsia="Times New Roman" w:cstheme="minorHAnsi"/>
                <w:b/>
                <w:bCs/>
                <w:sz w:val="18"/>
                <w:szCs w:val="18"/>
                <w:lang w:val="fr-FR" w:eastAsia="fr-FR"/>
              </w:rPr>
              <w:t>20</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Supermarchés</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30</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b/>
                <w:bCs/>
                <w:sz w:val="18"/>
                <w:szCs w:val="18"/>
                <w:lang w:val="fr-FR" w:eastAsia="fr-FR"/>
              </w:rPr>
            </w:pPr>
            <w:r w:rsidRPr="00C9663A">
              <w:rPr>
                <w:rFonts w:eastAsia="Times New Roman" w:cstheme="minorHAnsi"/>
                <w:b/>
                <w:bCs/>
                <w:sz w:val="18"/>
                <w:szCs w:val="18"/>
                <w:lang w:val="fr-FR" w:eastAsia="fr-FR"/>
              </w:rPr>
              <w:t>25</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Hypermarchés</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30</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b/>
                <w:bCs/>
                <w:sz w:val="18"/>
                <w:szCs w:val="18"/>
                <w:lang w:val="fr-FR" w:eastAsia="fr-FR"/>
              </w:rPr>
            </w:pPr>
            <w:r w:rsidRPr="00C9663A">
              <w:rPr>
                <w:rFonts w:eastAsia="Times New Roman" w:cstheme="minorHAnsi"/>
                <w:b/>
                <w:bCs/>
                <w:sz w:val="18"/>
                <w:szCs w:val="18"/>
                <w:lang w:val="fr-FR" w:eastAsia="fr-FR"/>
              </w:rPr>
              <w:t>25</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Petits commerces</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B52A33" w:rsidP="00C9663A">
            <w:pPr>
              <w:spacing w:before="0" w:after="0" w:line="240" w:lineRule="auto"/>
              <w:jc w:val="center"/>
              <w:rPr>
                <w:rFonts w:eastAsia="Times New Roman" w:cstheme="minorHAnsi"/>
                <w:sz w:val="18"/>
                <w:szCs w:val="18"/>
                <w:lang w:val="fr-FR" w:eastAsia="fr-FR"/>
              </w:rPr>
            </w:pPr>
            <w:r>
              <w:rPr>
                <w:rFonts w:eastAsia="Times New Roman" w:cstheme="minorHAnsi"/>
                <w:sz w:val="18"/>
                <w:szCs w:val="18"/>
                <w:lang w:val="fr-FR" w:eastAsia="fr-FR"/>
              </w:rPr>
              <w:t>Systèmes poulie-</w:t>
            </w:r>
            <w:r w:rsidR="00853480" w:rsidRPr="00C9663A">
              <w:rPr>
                <w:rFonts w:eastAsia="Times New Roman" w:cstheme="minorHAnsi"/>
                <w:sz w:val="18"/>
                <w:szCs w:val="18"/>
                <w:lang w:val="fr-FR" w:eastAsia="fr-FR"/>
              </w:rPr>
              <w:t>courroie</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10</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9</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10</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Syst</w:t>
            </w:r>
            <w:r w:rsidR="009F38AE">
              <w:rPr>
                <w:rFonts w:eastAsia="Times New Roman" w:cstheme="minorHAnsi"/>
                <w:sz w:val="18"/>
                <w:szCs w:val="18"/>
                <w:lang w:val="fr-FR" w:eastAsia="fr-FR"/>
              </w:rPr>
              <w:t>èmes</w:t>
            </w:r>
            <w:r w:rsidRPr="00C9663A">
              <w:rPr>
                <w:rFonts w:eastAsia="Times New Roman" w:cstheme="minorHAnsi"/>
                <w:sz w:val="18"/>
                <w:szCs w:val="18"/>
                <w:lang w:val="fr-FR" w:eastAsia="fr-FR"/>
              </w:rPr>
              <w:t xml:space="preserve"> autonomes</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10</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9</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10</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Agroalimentaire</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30</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30</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30</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Autres procédés</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30</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30</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30</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Tanks à lait</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Chillers (LP et MP)</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Portable</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10</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10</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10</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Splits</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Multisplits</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Window</w:t>
            </w:r>
            <w:r w:rsidR="00B52A33">
              <w:rPr>
                <w:rFonts w:eastAsia="Times New Roman" w:cstheme="minorHAnsi"/>
                <w:sz w:val="18"/>
                <w:szCs w:val="18"/>
                <w:lang w:val="fr-FR" w:eastAsia="fr-FR"/>
              </w:rPr>
              <w:t>s</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10</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12</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b/>
                <w:bCs/>
                <w:sz w:val="18"/>
                <w:szCs w:val="18"/>
                <w:lang w:val="fr-FR" w:eastAsia="fr-FR"/>
              </w:rPr>
            </w:pPr>
            <w:r w:rsidRPr="00C9663A">
              <w:rPr>
                <w:rFonts w:eastAsia="Times New Roman" w:cstheme="minorHAnsi"/>
                <w:b/>
                <w:bCs/>
                <w:sz w:val="18"/>
                <w:szCs w:val="18"/>
                <w:lang w:val="fr-FR" w:eastAsia="fr-FR"/>
              </w:rPr>
              <w:t>12</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Rooftops</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20</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b/>
                <w:bCs/>
                <w:sz w:val="18"/>
                <w:szCs w:val="18"/>
                <w:lang w:val="fr-FR" w:eastAsia="fr-FR"/>
              </w:rPr>
            </w:pPr>
            <w:r w:rsidRPr="00C9663A">
              <w:rPr>
                <w:rFonts w:eastAsia="Times New Roman" w:cstheme="minorHAnsi"/>
                <w:b/>
                <w:bCs/>
                <w:sz w:val="18"/>
                <w:szCs w:val="18"/>
                <w:lang w:val="fr-FR" w:eastAsia="fr-FR"/>
              </w:rPr>
              <w:t>20</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Central AC</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Clim</w:t>
            </w:r>
            <w:r w:rsidR="00B52A33">
              <w:rPr>
                <w:rFonts w:eastAsia="Times New Roman" w:cstheme="minorHAnsi"/>
                <w:sz w:val="18"/>
                <w:szCs w:val="18"/>
                <w:lang w:val="fr-FR" w:eastAsia="fr-FR"/>
              </w:rPr>
              <w:t>atisation</w:t>
            </w:r>
            <w:r w:rsidRPr="00C9663A">
              <w:rPr>
                <w:rFonts w:eastAsia="Times New Roman" w:cstheme="minorHAnsi"/>
                <w:sz w:val="18"/>
                <w:szCs w:val="18"/>
                <w:lang w:val="fr-FR" w:eastAsia="fr-FR"/>
              </w:rPr>
              <w:t xml:space="preserve"> auto</w:t>
            </w:r>
            <w:r w:rsidR="00B52A33">
              <w:rPr>
                <w:rFonts w:eastAsia="Times New Roman" w:cstheme="minorHAnsi"/>
                <w:sz w:val="18"/>
                <w:szCs w:val="18"/>
                <w:lang w:val="fr-FR" w:eastAsia="fr-FR"/>
              </w:rPr>
              <w:t>moible</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12</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12</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12</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Bus</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15</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b/>
                <w:bCs/>
                <w:sz w:val="18"/>
                <w:szCs w:val="18"/>
                <w:lang w:val="fr-FR" w:eastAsia="fr-FR"/>
              </w:rPr>
            </w:pPr>
            <w:r w:rsidRPr="00C9663A">
              <w:rPr>
                <w:rFonts w:eastAsia="Times New Roman" w:cstheme="minorHAnsi"/>
                <w:b/>
                <w:bCs/>
                <w:sz w:val="18"/>
                <w:szCs w:val="18"/>
                <w:lang w:val="fr-FR" w:eastAsia="fr-FR"/>
              </w:rPr>
              <w:t>20</w:t>
            </w:r>
          </w:p>
        </w:tc>
      </w:tr>
      <w:tr w:rsidR="00853480" w:rsidRPr="00C9663A" w:rsidTr="00C9663A">
        <w:trPr>
          <w:trHeight w:val="25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VI</w:t>
            </w:r>
          </w:p>
        </w:tc>
        <w:tc>
          <w:tcPr>
            <w:tcW w:w="1417"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12</w:t>
            </w:r>
          </w:p>
        </w:tc>
        <w:tc>
          <w:tcPr>
            <w:tcW w:w="1701"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sz w:val="18"/>
                <w:szCs w:val="18"/>
                <w:lang w:val="fr-FR" w:eastAsia="fr-FR"/>
              </w:rPr>
            </w:pPr>
            <w:r w:rsidRPr="00C9663A">
              <w:rPr>
                <w:rFonts w:eastAsia="Times New Roman" w:cstheme="minorHAnsi"/>
                <w:sz w:val="18"/>
                <w:szCs w:val="18"/>
                <w:lang w:val="fr-FR" w:eastAsia="fr-FR"/>
              </w:rPr>
              <w:t>16</w:t>
            </w:r>
          </w:p>
        </w:tc>
        <w:tc>
          <w:tcPr>
            <w:tcW w:w="2410" w:type="dxa"/>
            <w:tcBorders>
              <w:top w:val="nil"/>
              <w:left w:val="nil"/>
              <w:bottom w:val="single" w:sz="4" w:space="0" w:color="auto"/>
              <w:right w:val="single" w:sz="4" w:space="0" w:color="auto"/>
            </w:tcBorders>
            <w:shd w:val="clear" w:color="auto" w:fill="auto"/>
            <w:noWrap/>
            <w:vAlign w:val="center"/>
            <w:hideMark/>
          </w:tcPr>
          <w:p w:rsidR="00853480" w:rsidRPr="00C9663A" w:rsidRDefault="00853480" w:rsidP="00C9663A">
            <w:pPr>
              <w:spacing w:before="0" w:after="0" w:line="240" w:lineRule="auto"/>
              <w:jc w:val="center"/>
              <w:rPr>
                <w:rFonts w:eastAsia="Times New Roman" w:cstheme="minorHAnsi"/>
                <w:b/>
                <w:sz w:val="18"/>
                <w:szCs w:val="18"/>
                <w:lang w:val="fr-FR" w:eastAsia="fr-FR"/>
              </w:rPr>
            </w:pPr>
            <w:r w:rsidRPr="00C9663A">
              <w:rPr>
                <w:rFonts w:eastAsia="Times New Roman" w:cstheme="minorHAnsi"/>
                <w:b/>
                <w:sz w:val="18"/>
                <w:szCs w:val="18"/>
                <w:lang w:val="fr-FR" w:eastAsia="fr-FR"/>
              </w:rPr>
              <w:t>20</w:t>
            </w:r>
          </w:p>
        </w:tc>
      </w:tr>
    </w:tbl>
    <w:p w:rsidR="00853480" w:rsidRDefault="009F38AE" w:rsidP="00853480">
      <w:pPr>
        <w:jc w:val="both"/>
        <w:rPr>
          <w:lang w:val="fr-FR"/>
        </w:rPr>
      </w:pPr>
      <w:r>
        <w:rPr>
          <w:lang w:val="fr-FR"/>
        </w:rPr>
        <w:t>Les calculs ont été réalisés en introduisant une courbe de durée de vie pour chaque secteur, basée sur ces valeurs moyennes.</w:t>
      </w:r>
    </w:p>
    <w:p w:rsidR="00D60980" w:rsidRDefault="00D60980" w:rsidP="00853480">
      <w:pPr>
        <w:jc w:val="both"/>
        <w:rPr>
          <w:lang w:val="fr-FR"/>
        </w:rPr>
      </w:pPr>
      <w:r>
        <w:rPr>
          <w:lang w:val="fr-FR"/>
        </w:rPr>
        <w:t>Les hypothèses c</w:t>
      </w:r>
      <w:r w:rsidR="007C3F07">
        <w:rPr>
          <w:lang w:val="fr-FR"/>
        </w:rPr>
        <w:t>oncernant les fluides utilisés po</w:t>
      </w:r>
      <w:r>
        <w:rPr>
          <w:lang w:val="fr-FR"/>
        </w:rPr>
        <w:t xml:space="preserve">ur les marchés neufs des équipements sont récapitulées tableau </w:t>
      </w:r>
      <w:r w:rsidR="008203B6">
        <w:rPr>
          <w:lang w:val="fr-FR"/>
        </w:rPr>
        <w:t>14</w:t>
      </w:r>
      <w:r>
        <w:rPr>
          <w:lang w:val="fr-FR"/>
        </w:rPr>
        <w:t xml:space="preserve"> pour les deux groupes de territoires : pour le groupe 1, les fluides sont qua</w:t>
      </w:r>
      <w:r w:rsidR="00F83583">
        <w:rPr>
          <w:lang w:val="fr-FR"/>
        </w:rPr>
        <w:t>si équivalents à ceux utilisés en métropole ; pour le groupe 2, les fluides sont issus du modèle « A5 » utilisé pour le Brésil dans le cadre des inventaires mondiaux.</w:t>
      </w:r>
    </w:p>
    <w:p w:rsidR="00F83583" w:rsidRDefault="00F83583">
      <w:pPr>
        <w:rPr>
          <w:caps/>
          <w:color w:val="595959" w:themeColor="text1" w:themeTint="A6"/>
          <w:spacing w:val="10"/>
          <w:sz w:val="24"/>
          <w:szCs w:val="24"/>
          <w:lang w:val="fr-FR"/>
        </w:rPr>
      </w:pPr>
      <w:r>
        <w:rPr>
          <w:lang w:val="fr-FR"/>
        </w:rPr>
        <w:br w:type="page"/>
      </w:r>
    </w:p>
    <w:p w:rsidR="00D60980" w:rsidRPr="00D60980" w:rsidRDefault="00D60980" w:rsidP="00D60980">
      <w:pPr>
        <w:pStyle w:val="Sous-titre"/>
        <w:spacing w:after="100"/>
        <w:ind w:left="720"/>
        <w:jc w:val="center"/>
        <w:rPr>
          <w:sz w:val="20"/>
          <w:szCs w:val="20"/>
          <w:lang w:val="fr-FR"/>
        </w:rPr>
      </w:pPr>
      <w:r>
        <w:rPr>
          <w:lang w:val="fr-FR"/>
        </w:rPr>
        <w:lastRenderedPageBreak/>
        <w:t xml:space="preserve">Tableau </w:t>
      </w:r>
      <w:r w:rsidR="008203B6">
        <w:rPr>
          <w:lang w:val="fr-FR"/>
        </w:rPr>
        <w:t>14</w:t>
      </w:r>
      <w:r w:rsidRPr="00C8316D">
        <w:rPr>
          <w:lang w:val="fr-FR"/>
        </w:rPr>
        <w:t xml:space="preserve"> – </w:t>
      </w:r>
      <w:r>
        <w:rPr>
          <w:lang w:val="fr-FR"/>
        </w:rPr>
        <w:t xml:space="preserve">fluides utilises </w:t>
      </w:r>
      <w:r w:rsidR="007C3F07">
        <w:rPr>
          <w:lang w:val="fr-FR"/>
        </w:rPr>
        <w:t>po</w:t>
      </w:r>
      <w:r>
        <w:rPr>
          <w:lang w:val="fr-FR"/>
        </w:rPr>
        <w:t>ur les marches neufs par secteur</w:t>
      </w:r>
    </w:p>
    <w:tbl>
      <w:tblPr>
        <w:tblStyle w:val="Grilledutableau"/>
        <w:tblW w:w="5000" w:type="pct"/>
        <w:tblLayout w:type="fixed"/>
        <w:tblLook w:val="04A0"/>
      </w:tblPr>
      <w:tblGrid>
        <w:gridCol w:w="1808"/>
        <w:gridCol w:w="1137"/>
        <w:gridCol w:w="1417"/>
        <w:gridCol w:w="2409"/>
        <w:gridCol w:w="2517"/>
      </w:tblGrid>
      <w:tr w:rsidR="00D60980" w:rsidRPr="00192718" w:rsidTr="00F9187E">
        <w:tc>
          <w:tcPr>
            <w:tcW w:w="2348" w:type="pct"/>
            <w:gridSpan w:val="3"/>
            <w:vAlign w:val="center"/>
          </w:tcPr>
          <w:p w:rsidR="00D60980" w:rsidRPr="00795158" w:rsidRDefault="00D60980" w:rsidP="00D60980">
            <w:pPr>
              <w:spacing w:before="0"/>
              <w:jc w:val="center"/>
              <w:rPr>
                <w:b/>
                <w:sz w:val="18"/>
                <w:szCs w:val="18"/>
                <w:lang w:val="fr-FR"/>
              </w:rPr>
            </w:pPr>
          </w:p>
        </w:tc>
        <w:tc>
          <w:tcPr>
            <w:tcW w:w="2652" w:type="pct"/>
            <w:gridSpan w:val="2"/>
          </w:tcPr>
          <w:p w:rsidR="00D60980" w:rsidRPr="00795158" w:rsidRDefault="007C3F07" w:rsidP="00D60980">
            <w:pPr>
              <w:spacing w:before="0"/>
              <w:jc w:val="center"/>
              <w:rPr>
                <w:b/>
                <w:sz w:val="18"/>
                <w:szCs w:val="18"/>
                <w:lang w:val="fr-FR"/>
              </w:rPr>
            </w:pPr>
            <w:r>
              <w:rPr>
                <w:b/>
                <w:sz w:val="18"/>
                <w:szCs w:val="18"/>
                <w:lang w:val="fr-FR"/>
              </w:rPr>
              <w:t>Fluides utilisés po</w:t>
            </w:r>
            <w:r w:rsidR="00D60980" w:rsidRPr="00795158">
              <w:rPr>
                <w:b/>
                <w:sz w:val="18"/>
                <w:szCs w:val="18"/>
                <w:lang w:val="fr-FR"/>
              </w:rPr>
              <w:t>ur le marché neuf 2010</w:t>
            </w:r>
          </w:p>
        </w:tc>
      </w:tr>
      <w:tr w:rsidR="00D60980" w:rsidRPr="0072532C" w:rsidTr="00F9187E">
        <w:tc>
          <w:tcPr>
            <w:tcW w:w="2348" w:type="pct"/>
            <w:gridSpan w:val="3"/>
            <w:vAlign w:val="center"/>
          </w:tcPr>
          <w:p w:rsidR="00D60980" w:rsidRPr="0072532C" w:rsidRDefault="00D60980" w:rsidP="00D60980">
            <w:pPr>
              <w:spacing w:before="0"/>
              <w:jc w:val="center"/>
              <w:rPr>
                <w:b/>
                <w:sz w:val="18"/>
                <w:szCs w:val="18"/>
              </w:rPr>
            </w:pPr>
            <w:r w:rsidRPr="0072532C">
              <w:rPr>
                <w:b/>
                <w:sz w:val="18"/>
                <w:szCs w:val="18"/>
              </w:rPr>
              <w:t>SECTEUR</w:t>
            </w:r>
          </w:p>
        </w:tc>
        <w:tc>
          <w:tcPr>
            <w:tcW w:w="1297" w:type="pct"/>
            <w:vAlign w:val="center"/>
          </w:tcPr>
          <w:p w:rsidR="00D60980" w:rsidRPr="0072532C" w:rsidRDefault="00D60980" w:rsidP="00D60980">
            <w:pPr>
              <w:spacing w:before="0"/>
              <w:jc w:val="center"/>
              <w:rPr>
                <w:b/>
                <w:sz w:val="18"/>
                <w:szCs w:val="18"/>
              </w:rPr>
            </w:pPr>
            <w:r>
              <w:rPr>
                <w:b/>
                <w:sz w:val="18"/>
                <w:szCs w:val="18"/>
              </w:rPr>
              <w:t>Modèle « Métropole Décalé » GROUPE 1</w:t>
            </w:r>
          </w:p>
        </w:tc>
        <w:tc>
          <w:tcPr>
            <w:tcW w:w="1355" w:type="pct"/>
            <w:vAlign w:val="center"/>
          </w:tcPr>
          <w:p w:rsidR="00D60980" w:rsidRPr="0072532C" w:rsidRDefault="00D60980" w:rsidP="00D60980">
            <w:pPr>
              <w:spacing w:before="0"/>
              <w:jc w:val="center"/>
              <w:rPr>
                <w:b/>
                <w:sz w:val="18"/>
                <w:szCs w:val="18"/>
              </w:rPr>
            </w:pPr>
            <w:r>
              <w:rPr>
                <w:b/>
                <w:sz w:val="18"/>
                <w:szCs w:val="18"/>
              </w:rPr>
              <w:t>Modèle « Economy In Transition » GROUPE 2</w:t>
            </w:r>
          </w:p>
        </w:tc>
      </w:tr>
      <w:tr w:rsidR="00D60980" w:rsidRPr="0072532C" w:rsidTr="00F9187E">
        <w:trPr>
          <w:trHeight w:val="307"/>
        </w:trPr>
        <w:tc>
          <w:tcPr>
            <w:tcW w:w="973" w:type="pct"/>
            <w:vMerge w:val="restart"/>
            <w:vAlign w:val="center"/>
          </w:tcPr>
          <w:p w:rsidR="00D60980" w:rsidRPr="0072532C" w:rsidRDefault="00D60980" w:rsidP="00D60980">
            <w:pPr>
              <w:spacing w:before="0"/>
              <w:jc w:val="center"/>
              <w:rPr>
                <w:b/>
                <w:sz w:val="18"/>
                <w:szCs w:val="18"/>
              </w:rPr>
            </w:pPr>
            <w:r w:rsidRPr="0072532C">
              <w:rPr>
                <w:b/>
                <w:sz w:val="18"/>
                <w:szCs w:val="18"/>
              </w:rPr>
              <w:t>Froid Domestique</w:t>
            </w:r>
          </w:p>
        </w:tc>
        <w:tc>
          <w:tcPr>
            <w:tcW w:w="1375" w:type="pct"/>
            <w:gridSpan w:val="2"/>
            <w:vAlign w:val="center"/>
          </w:tcPr>
          <w:p w:rsidR="00D60980" w:rsidRPr="0072532C" w:rsidRDefault="00D60980" w:rsidP="00D60980">
            <w:pPr>
              <w:spacing w:before="0"/>
              <w:jc w:val="center"/>
              <w:rPr>
                <w:b/>
                <w:sz w:val="18"/>
                <w:szCs w:val="18"/>
              </w:rPr>
            </w:pPr>
            <w:r w:rsidRPr="0072532C">
              <w:rPr>
                <w:color w:val="000000" w:themeColor="text1"/>
                <w:sz w:val="18"/>
                <w:szCs w:val="18"/>
              </w:rPr>
              <w:t>Réfrigérateurs</w:t>
            </w:r>
          </w:p>
        </w:tc>
        <w:tc>
          <w:tcPr>
            <w:tcW w:w="1297" w:type="pct"/>
            <w:vAlign w:val="center"/>
          </w:tcPr>
          <w:p w:rsidR="00D60980" w:rsidRPr="004337E8" w:rsidRDefault="00D60980" w:rsidP="00D60980">
            <w:pPr>
              <w:spacing w:before="0"/>
              <w:jc w:val="center"/>
              <w:rPr>
                <w:color w:val="000000" w:themeColor="text1"/>
                <w:sz w:val="18"/>
                <w:szCs w:val="18"/>
              </w:rPr>
            </w:pPr>
            <w:r w:rsidRPr="004337E8">
              <w:rPr>
                <w:color w:val="000000" w:themeColor="text1"/>
                <w:sz w:val="18"/>
                <w:szCs w:val="18"/>
              </w:rPr>
              <w:t>98 % R-600a</w:t>
            </w:r>
          </w:p>
          <w:p w:rsidR="00D60980" w:rsidRPr="004337E8" w:rsidRDefault="00D60980" w:rsidP="00D60980">
            <w:pPr>
              <w:spacing w:before="0"/>
              <w:jc w:val="center"/>
              <w:rPr>
                <w:color w:val="000000" w:themeColor="text1"/>
                <w:sz w:val="18"/>
                <w:szCs w:val="18"/>
              </w:rPr>
            </w:pPr>
            <w:r w:rsidRPr="004337E8">
              <w:rPr>
                <w:color w:val="000000" w:themeColor="text1"/>
                <w:sz w:val="18"/>
                <w:szCs w:val="18"/>
              </w:rPr>
              <w:t>2 % R-134a</w:t>
            </w: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90</w:t>
            </w:r>
            <w:r w:rsidR="007C3F07">
              <w:rPr>
                <w:rFonts w:cstheme="minorHAnsi"/>
                <w:sz w:val="18"/>
                <w:szCs w:val="18"/>
              </w:rPr>
              <w:t xml:space="preserve"> </w:t>
            </w:r>
            <w:r w:rsidRPr="00934858">
              <w:rPr>
                <w:rFonts w:cstheme="minorHAnsi"/>
                <w:sz w:val="18"/>
                <w:szCs w:val="18"/>
              </w:rPr>
              <w:t>% R-134a</w:t>
            </w:r>
          </w:p>
          <w:p w:rsidR="00D60980" w:rsidRPr="00934858" w:rsidRDefault="00D60980" w:rsidP="00D60980">
            <w:pPr>
              <w:spacing w:before="0"/>
              <w:jc w:val="center"/>
              <w:rPr>
                <w:rFonts w:cstheme="minorHAnsi"/>
                <w:color w:val="000000" w:themeColor="text1"/>
                <w:sz w:val="18"/>
                <w:szCs w:val="18"/>
              </w:rPr>
            </w:pPr>
            <w:r w:rsidRPr="00934858">
              <w:rPr>
                <w:rFonts w:cstheme="minorHAnsi"/>
                <w:sz w:val="18"/>
                <w:szCs w:val="18"/>
              </w:rPr>
              <w:t>10</w:t>
            </w:r>
            <w:r w:rsidR="007C3F07">
              <w:rPr>
                <w:rFonts w:cstheme="minorHAnsi"/>
                <w:sz w:val="18"/>
                <w:szCs w:val="18"/>
              </w:rPr>
              <w:t xml:space="preserve"> </w:t>
            </w:r>
            <w:r w:rsidRPr="00934858">
              <w:rPr>
                <w:rFonts w:cstheme="minorHAnsi"/>
                <w:sz w:val="18"/>
                <w:szCs w:val="18"/>
              </w:rPr>
              <w:t>% R-600a</w:t>
            </w:r>
          </w:p>
        </w:tc>
      </w:tr>
      <w:tr w:rsidR="00D60980" w:rsidRPr="0072532C" w:rsidTr="00F9187E">
        <w:trPr>
          <w:trHeight w:val="263"/>
        </w:trPr>
        <w:tc>
          <w:tcPr>
            <w:tcW w:w="973" w:type="pct"/>
            <w:vMerge/>
            <w:vAlign w:val="center"/>
          </w:tcPr>
          <w:p w:rsidR="00D60980" w:rsidRPr="0072532C" w:rsidRDefault="00D60980" w:rsidP="00D60980">
            <w:pPr>
              <w:spacing w:before="0"/>
              <w:jc w:val="center"/>
              <w:rPr>
                <w:b/>
                <w:sz w:val="18"/>
                <w:szCs w:val="18"/>
              </w:rPr>
            </w:pPr>
          </w:p>
        </w:tc>
        <w:tc>
          <w:tcPr>
            <w:tcW w:w="1375" w:type="pct"/>
            <w:gridSpan w:val="2"/>
            <w:vAlign w:val="center"/>
          </w:tcPr>
          <w:p w:rsidR="00D60980" w:rsidRPr="0072532C" w:rsidRDefault="00D60980" w:rsidP="00D60980">
            <w:pPr>
              <w:spacing w:before="0"/>
              <w:jc w:val="center"/>
              <w:rPr>
                <w:color w:val="000000" w:themeColor="text1"/>
                <w:sz w:val="18"/>
                <w:szCs w:val="18"/>
              </w:rPr>
            </w:pPr>
            <w:r w:rsidRPr="0072532C">
              <w:rPr>
                <w:color w:val="000000" w:themeColor="text1"/>
                <w:sz w:val="18"/>
                <w:szCs w:val="18"/>
              </w:rPr>
              <w:t>Congélateurs</w:t>
            </w:r>
          </w:p>
        </w:tc>
        <w:tc>
          <w:tcPr>
            <w:tcW w:w="1297" w:type="pct"/>
            <w:vAlign w:val="center"/>
          </w:tcPr>
          <w:p w:rsidR="00D60980" w:rsidRPr="004337E8" w:rsidRDefault="00D60980" w:rsidP="00D60980">
            <w:pPr>
              <w:spacing w:before="0"/>
              <w:jc w:val="center"/>
              <w:rPr>
                <w:color w:val="000000" w:themeColor="text1"/>
                <w:sz w:val="18"/>
                <w:szCs w:val="18"/>
              </w:rPr>
            </w:pPr>
            <w:r w:rsidRPr="004337E8">
              <w:rPr>
                <w:color w:val="000000" w:themeColor="text1"/>
                <w:sz w:val="18"/>
                <w:szCs w:val="18"/>
              </w:rPr>
              <w:t>98 % R-600a</w:t>
            </w:r>
          </w:p>
          <w:p w:rsidR="00D60980" w:rsidRPr="004337E8" w:rsidRDefault="00D60980" w:rsidP="00D60980">
            <w:pPr>
              <w:spacing w:before="0"/>
              <w:jc w:val="center"/>
              <w:rPr>
                <w:color w:val="000000" w:themeColor="text1"/>
                <w:sz w:val="18"/>
                <w:szCs w:val="18"/>
              </w:rPr>
            </w:pPr>
            <w:r w:rsidRPr="004337E8">
              <w:rPr>
                <w:color w:val="000000" w:themeColor="text1"/>
                <w:sz w:val="18"/>
                <w:szCs w:val="18"/>
              </w:rPr>
              <w:t>2 % R-134a</w:t>
            </w: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90</w:t>
            </w:r>
            <w:r w:rsidR="007C3F07">
              <w:rPr>
                <w:rFonts w:cstheme="minorHAnsi"/>
                <w:sz w:val="18"/>
                <w:szCs w:val="18"/>
              </w:rPr>
              <w:t xml:space="preserve"> </w:t>
            </w:r>
            <w:r w:rsidRPr="00934858">
              <w:rPr>
                <w:rFonts w:cstheme="minorHAnsi"/>
                <w:sz w:val="18"/>
                <w:szCs w:val="18"/>
              </w:rPr>
              <w:t>% R-134a</w:t>
            </w:r>
          </w:p>
          <w:p w:rsidR="00D60980" w:rsidRPr="00934858" w:rsidRDefault="00D60980" w:rsidP="00D60980">
            <w:pPr>
              <w:spacing w:before="0"/>
              <w:jc w:val="center"/>
              <w:rPr>
                <w:rFonts w:cstheme="minorHAnsi"/>
                <w:sz w:val="18"/>
                <w:szCs w:val="18"/>
              </w:rPr>
            </w:pPr>
            <w:r w:rsidRPr="00934858">
              <w:rPr>
                <w:rFonts w:cstheme="minorHAnsi"/>
                <w:sz w:val="18"/>
                <w:szCs w:val="18"/>
              </w:rPr>
              <w:t>10</w:t>
            </w:r>
            <w:r w:rsidR="007C3F07">
              <w:rPr>
                <w:rFonts w:cstheme="minorHAnsi"/>
                <w:sz w:val="18"/>
                <w:szCs w:val="18"/>
              </w:rPr>
              <w:t xml:space="preserve"> </w:t>
            </w:r>
            <w:r w:rsidRPr="00934858">
              <w:rPr>
                <w:rFonts w:cstheme="minorHAnsi"/>
                <w:sz w:val="18"/>
                <w:szCs w:val="18"/>
              </w:rPr>
              <w:t>% R-600a</w:t>
            </w:r>
          </w:p>
        </w:tc>
      </w:tr>
      <w:tr w:rsidR="00D60980" w:rsidRPr="0072532C" w:rsidTr="00F9187E">
        <w:trPr>
          <w:trHeight w:val="273"/>
        </w:trPr>
        <w:tc>
          <w:tcPr>
            <w:tcW w:w="973" w:type="pct"/>
            <w:vMerge w:val="restart"/>
            <w:vAlign w:val="center"/>
          </w:tcPr>
          <w:p w:rsidR="00D60980" w:rsidRPr="0072532C" w:rsidRDefault="00D60980" w:rsidP="00D60980">
            <w:pPr>
              <w:spacing w:before="0"/>
              <w:jc w:val="center"/>
              <w:rPr>
                <w:b/>
                <w:sz w:val="18"/>
                <w:szCs w:val="18"/>
              </w:rPr>
            </w:pPr>
            <w:r w:rsidRPr="0072532C">
              <w:rPr>
                <w:b/>
                <w:sz w:val="18"/>
                <w:szCs w:val="18"/>
              </w:rPr>
              <w:t>Froid Commercial</w:t>
            </w:r>
          </w:p>
        </w:tc>
        <w:tc>
          <w:tcPr>
            <w:tcW w:w="1375" w:type="pct"/>
            <w:gridSpan w:val="2"/>
            <w:vAlign w:val="center"/>
          </w:tcPr>
          <w:p w:rsidR="00D60980" w:rsidRPr="0072532C" w:rsidRDefault="00D60980" w:rsidP="00D60980">
            <w:pPr>
              <w:spacing w:before="0"/>
              <w:jc w:val="center"/>
              <w:rPr>
                <w:color w:val="000000" w:themeColor="text1"/>
                <w:sz w:val="18"/>
                <w:szCs w:val="18"/>
              </w:rPr>
            </w:pPr>
            <w:r w:rsidRPr="0072532C">
              <w:rPr>
                <w:color w:val="000000" w:themeColor="text1"/>
                <w:sz w:val="18"/>
                <w:szCs w:val="18"/>
              </w:rPr>
              <w:t>Supermarchés</w:t>
            </w:r>
          </w:p>
        </w:tc>
        <w:tc>
          <w:tcPr>
            <w:tcW w:w="1297" w:type="pct"/>
            <w:vAlign w:val="center"/>
          </w:tcPr>
          <w:p w:rsidR="00D60980" w:rsidRPr="00795158" w:rsidRDefault="007C3F07" w:rsidP="00D60980">
            <w:pPr>
              <w:spacing w:before="0"/>
              <w:jc w:val="center"/>
              <w:rPr>
                <w:sz w:val="18"/>
                <w:szCs w:val="18"/>
                <w:lang w:val="fr-FR"/>
              </w:rPr>
            </w:pPr>
            <w:r>
              <w:rPr>
                <w:sz w:val="18"/>
                <w:szCs w:val="18"/>
                <w:lang w:val="fr-FR"/>
              </w:rPr>
              <w:t xml:space="preserve">88 % R-404A/ </w:t>
            </w:r>
            <w:r w:rsidR="00D60980" w:rsidRPr="00795158">
              <w:rPr>
                <w:sz w:val="18"/>
                <w:szCs w:val="18"/>
                <w:lang w:val="fr-FR"/>
              </w:rPr>
              <w:t>R-507</w:t>
            </w:r>
          </w:p>
          <w:p w:rsidR="00D60980" w:rsidRPr="00795158" w:rsidRDefault="00D60980" w:rsidP="00D60980">
            <w:pPr>
              <w:spacing w:before="0"/>
              <w:jc w:val="center"/>
              <w:rPr>
                <w:sz w:val="18"/>
                <w:szCs w:val="18"/>
                <w:lang w:val="fr-FR"/>
              </w:rPr>
            </w:pPr>
            <w:r w:rsidRPr="00795158">
              <w:rPr>
                <w:sz w:val="18"/>
                <w:szCs w:val="18"/>
                <w:lang w:val="fr-FR"/>
              </w:rPr>
              <w:t>12 % R-134a et autres</w:t>
            </w: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100</w:t>
            </w:r>
            <w:r w:rsidR="007C3F07">
              <w:rPr>
                <w:rFonts w:cstheme="minorHAnsi"/>
                <w:sz w:val="18"/>
                <w:szCs w:val="18"/>
              </w:rPr>
              <w:t xml:space="preserve"> </w:t>
            </w:r>
            <w:r w:rsidRPr="00934858">
              <w:rPr>
                <w:rFonts w:cstheme="minorHAnsi"/>
                <w:sz w:val="18"/>
                <w:szCs w:val="18"/>
              </w:rPr>
              <w:t>% R-22</w:t>
            </w:r>
          </w:p>
        </w:tc>
      </w:tr>
      <w:tr w:rsidR="00D60980" w:rsidRPr="009329B5" w:rsidTr="00F9187E">
        <w:trPr>
          <w:trHeight w:val="70"/>
        </w:trPr>
        <w:tc>
          <w:tcPr>
            <w:tcW w:w="973" w:type="pct"/>
            <w:vMerge/>
            <w:vAlign w:val="center"/>
          </w:tcPr>
          <w:p w:rsidR="00D60980" w:rsidRPr="0072532C" w:rsidRDefault="00D60980" w:rsidP="00D60980">
            <w:pPr>
              <w:spacing w:before="0"/>
              <w:jc w:val="center"/>
              <w:rPr>
                <w:b/>
                <w:sz w:val="18"/>
                <w:szCs w:val="18"/>
              </w:rPr>
            </w:pPr>
          </w:p>
        </w:tc>
        <w:tc>
          <w:tcPr>
            <w:tcW w:w="1375" w:type="pct"/>
            <w:gridSpan w:val="2"/>
            <w:vAlign w:val="center"/>
          </w:tcPr>
          <w:p w:rsidR="00D60980" w:rsidRPr="0072532C" w:rsidRDefault="00D60980" w:rsidP="00D60980">
            <w:pPr>
              <w:spacing w:before="0"/>
              <w:jc w:val="center"/>
              <w:rPr>
                <w:color w:val="000000" w:themeColor="text1"/>
                <w:sz w:val="18"/>
                <w:szCs w:val="18"/>
              </w:rPr>
            </w:pPr>
            <w:r w:rsidRPr="0072532C">
              <w:rPr>
                <w:color w:val="000000" w:themeColor="text1"/>
                <w:sz w:val="18"/>
                <w:szCs w:val="18"/>
              </w:rPr>
              <w:t>Hypermarchés</w:t>
            </w:r>
          </w:p>
        </w:tc>
        <w:tc>
          <w:tcPr>
            <w:tcW w:w="1297" w:type="pct"/>
            <w:vAlign w:val="center"/>
          </w:tcPr>
          <w:p w:rsidR="00D60980" w:rsidRPr="00795158" w:rsidRDefault="00D60980" w:rsidP="00D60980">
            <w:pPr>
              <w:spacing w:before="0"/>
              <w:jc w:val="center"/>
              <w:rPr>
                <w:sz w:val="18"/>
                <w:szCs w:val="18"/>
                <w:lang w:val="fr-FR"/>
              </w:rPr>
            </w:pPr>
            <w:r w:rsidRPr="00795158">
              <w:rPr>
                <w:sz w:val="18"/>
                <w:szCs w:val="18"/>
                <w:lang w:val="fr-FR"/>
              </w:rPr>
              <w:t>87 % R-404A/R-507</w:t>
            </w:r>
          </w:p>
          <w:p w:rsidR="00D60980" w:rsidRPr="00795158" w:rsidRDefault="00D60980" w:rsidP="00D60980">
            <w:pPr>
              <w:spacing w:before="0"/>
              <w:jc w:val="center"/>
              <w:rPr>
                <w:sz w:val="18"/>
                <w:szCs w:val="18"/>
                <w:lang w:val="fr-FR"/>
              </w:rPr>
            </w:pPr>
            <w:r w:rsidRPr="00795158">
              <w:rPr>
                <w:sz w:val="18"/>
                <w:szCs w:val="18"/>
                <w:lang w:val="fr-FR"/>
              </w:rPr>
              <w:t>13 % R-134a et autres</w:t>
            </w: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100</w:t>
            </w:r>
            <w:r w:rsidR="007C3F07">
              <w:rPr>
                <w:rFonts w:cstheme="minorHAnsi"/>
                <w:sz w:val="18"/>
                <w:szCs w:val="18"/>
              </w:rPr>
              <w:t xml:space="preserve"> </w:t>
            </w:r>
            <w:r w:rsidRPr="00934858">
              <w:rPr>
                <w:rFonts w:cstheme="minorHAnsi"/>
                <w:sz w:val="18"/>
                <w:szCs w:val="18"/>
              </w:rPr>
              <w:t>% R-22</w:t>
            </w:r>
          </w:p>
        </w:tc>
      </w:tr>
      <w:tr w:rsidR="00D60980" w:rsidRPr="0072532C" w:rsidTr="00F9187E">
        <w:trPr>
          <w:trHeight w:val="70"/>
        </w:trPr>
        <w:tc>
          <w:tcPr>
            <w:tcW w:w="973" w:type="pct"/>
            <w:vMerge/>
            <w:vAlign w:val="center"/>
          </w:tcPr>
          <w:p w:rsidR="00D60980" w:rsidRPr="0072532C" w:rsidRDefault="00D60980" w:rsidP="00D60980">
            <w:pPr>
              <w:spacing w:before="0"/>
              <w:jc w:val="center"/>
              <w:rPr>
                <w:b/>
                <w:sz w:val="18"/>
                <w:szCs w:val="18"/>
              </w:rPr>
            </w:pPr>
          </w:p>
        </w:tc>
        <w:tc>
          <w:tcPr>
            <w:tcW w:w="1375" w:type="pct"/>
            <w:gridSpan w:val="2"/>
            <w:vAlign w:val="center"/>
          </w:tcPr>
          <w:p w:rsidR="00D60980" w:rsidRPr="00795158" w:rsidRDefault="00D60980" w:rsidP="00D60980">
            <w:pPr>
              <w:spacing w:before="0"/>
              <w:jc w:val="center"/>
              <w:rPr>
                <w:color w:val="000000" w:themeColor="text1"/>
                <w:sz w:val="18"/>
                <w:szCs w:val="18"/>
                <w:lang w:val="fr-FR"/>
              </w:rPr>
            </w:pPr>
            <w:r w:rsidRPr="00795158">
              <w:rPr>
                <w:color w:val="000000" w:themeColor="text1"/>
                <w:sz w:val="18"/>
                <w:szCs w:val="18"/>
                <w:lang w:val="fr-FR"/>
              </w:rPr>
              <w:t>Groupes hermétiques pour petits commerces</w:t>
            </w:r>
          </w:p>
        </w:tc>
        <w:tc>
          <w:tcPr>
            <w:tcW w:w="1297" w:type="pct"/>
            <w:vAlign w:val="center"/>
          </w:tcPr>
          <w:p w:rsidR="00D60980" w:rsidRPr="003B0DDD" w:rsidRDefault="00D60980" w:rsidP="00D60980">
            <w:pPr>
              <w:spacing w:before="0"/>
              <w:jc w:val="center"/>
              <w:rPr>
                <w:sz w:val="18"/>
                <w:szCs w:val="18"/>
              </w:rPr>
            </w:pPr>
            <w:r w:rsidRPr="003B0DDD">
              <w:rPr>
                <w:sz w:val="18"/>
                <w:szCs w:val="18"/>
              </w:rPr>
              <w:t>100 % R-134a</w:t>
            </w:r>
          </w:p>
          <w:p w:rsidR="00D60980" w:rsidRPr="003B0DDD" w:rsidRDefault="00D60980" w:rsidP="00D60980">
            <w:pPr>
              <w:spacing w:before="0"/>
              <w:jc w:val="center"/>
              <w:rPr>
                <w:sz w:val="18"/>
                <w:szCs w:val="18"/>
              </w:rPr>
            </w:pP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100</w:t>
            </w:r>
            <w:r w:rsidR="007C3F07">
              <w:rPr>
                <w:rFonts w:cstheme="minorHAnsi"/>
                <w:sz w:val="18"/>
                <w:szCs w:val="18"/>
              </w:rPr>
              <w:t xml:space="preserve"> </w:t>
            </w:r>
            <w:r w:rsidRPr="00934858">
              <w:rPr>
                <w:rFonts w:cstheme="minorHAnsi"/>
                <w:sz w:val="18"/>
                <w:szCs w:val="18"/>
              </w:rPr>
              <w:t>% R-134a</w:t>
            </w:r>
          </w:p>
        </w:tc>
      </w:tr>
      <w:tr w:rsidR="00D60980" w:rsidRPr="009329B5" w:rsidTr="00F9187E">
        <w:trPr>
          <w:trHeight w:val="70"/>
        </w:trPr>
        <w:tc>
          <w:tcPr>
            <w:tcW w:w="973" w:type="pct"/>
            <w:vMerge/>
            <w:vAlign w:val="center"/>
          </w:tcPr>
          <w:p w:rsidR="00D60980" w:rsidRPr="0072532C" w:rsidRDefault="00D60980" w:rsidP="00D60980">
            <w:pPr>
              <w:spacing w:before="0"/>
              <w:jc w:val="center"/>
              <w:rPr>
                <w:b/>
                <w:sz w:val="18"/>
                <w:szCs w:val="18"/>
              </w:rPr>
            </w:pPr>
          </w:p>
        </w:tc>
        <w:tc>
          <w:tcPr>
            <w:tcW w:w="1375" w:type="pct"/>
            <w:gridSpan w:val="2"/>
            <w:vAlign w:val="center"/>
          </w:tcPr>
          <w:p w:rsidR="00D60980" w:rsidRPr="00795158" w:rsidRDefault="00D60980" w:rsidP="00D60980">
            <w:pPr>
              <w:spacing w:before="0"/>
              <w:jc w:val="center"/>
              <w:rPr>
                <w:color w:val="000000" w:themeColor="text1"/>
                <w:sz w:val="18"/>
                <w:szCs w:val="18"/>
                <w:lang w:val="fr-FR"/>
              </w:rPr>
            </w:pPr>
            <w:r w:rsidRPr="00795158">
              <w:rPr>
                <w:color w:val="000000" w:themeColor="text1"/>
                <w:sz w:val="18"/>
                <w:szCs w:val="18"/>
                <w:lang w:val="fr-FR"/>
              </w:rPr>
              <w:t>Groupes de condensation pour petits commerces</w:t>
            </w:r>
          </w:p>
        </w:tc>
        <w:tc>
          <w:tcPr>
            <w:tcW w:w="1297" w:type="pct"/>
            <w:vAlign w:val="center"/>
          </w:tcPr>
          <w:p w:rsidR="00D60980" w:rsidRPr="003B0DDD" w:rsidRDefault="00D60980" w:rsidP="00D60980">
            <w:pPr>
              <w:spacing w:before="0"/>
              <w:jc w:val="center"/>
              <w:rPr>
                <w:sz w:val="18"/>
                <w:szCs w:val="18"/>
              </w:rPr>
            </w:pPr>
            <w:r w:rsidRPr="003B0DDD">
              <w:rPr>
                <w:sz w:val="18"/>
                <w:szCs w:val="18"/>
              </w:rPr>
              <w:t>100 % R</w:t>
            </w:r>
            <w:r w:rsidR="007C3F07">
              <w:rPr>
                <w:sz w:val="18"/>
                <w:szCs w:val="18"/>
              </w:rPr>
              <w:t>-</w:t>
            </w:r>
            <w:r w:rsidRPr="003B0DDD">
              <w:rPr>
                <w:sz w:val="18"/>
                <w:szCs w:val="18"/>
              </w:rPr>
              <w:t>404A</w:t>
            </w:r>
          </w:p>
          <w:p w:rsidR="00D60980" w:rsidRPr="003B0DDD" w:rsidRDefault="00D60980" w:rsidP="00D60980">
            <w:pPr>
              <w:spacing w:before="0"/>
              <w:jc w:val="center"/>
              <w:rPr>
                <w:sz w:val="18"/>
                <w:szCs w:val="18"/>
              </w:rPr>
            </w:pP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100</w:t>
            </w:r>
            <w:r w:rsidR="007C3F07">
              <w:rPr>
                <w:rFonts w:cstheme="minorHAnsi"/>
                <w:sz w:val="18"/>
                <w:szCs w:val="18"/>
              </w:rPr>
              <w:t xml:space="preserve"> </w:t>
            </w:r>
            <w:r w:rsidRPr="00934858">
              <w:rPr>
                <w:rFonts w:cstheme="minorHAnsi"/>
                <w:sz w:val="18"/>
                <w:szCs w:val="18"/>
              </w:rPr>
              <w:t>% R-22</w:t>
            </w:r>
          </w:p>
        </w:tc>
      </w:tr>
      <w:tr w:rsidR="00D60980" w:rsidRPr="0072532C" w:rsidTr="00F9187E">
        <w:trPr>
          <w:trHeight w:val="434"/>
        </w:trPr>
        <w:tc>
          <w:tcPr>
            <w:tcW w:w="973" w:type="pct"/>
            <w:vMerge w:val="restart"/>
            <w:vAlign w:val="center"/>
          </w:tcPr>
          <w:p w:rsidR="00D60980" w:rsidRPr="0072532C" w:rsidRDefault="00D60980" w:rsidP="00D60980">
            <w:pPr>
              <w:spacing w:before="0"/>
              <w:jc w:val="center"/>
              <w:rPr>
                <w:b/>
                <w:sz w:val="18"/>
                <w:szCs w:val="18"/>
              </w:rPr>
            </w:pPr>
            <w:r w:rsidRPr="0072532C">
              <w:rPr>
                <w:b/>
                <w:sz w:val="18"/>
                <w:szCs w:val="18"/>
              </w:rPr>
              <w:t>Transports réfrigérés</w:t>
            </w:r>
          </w:p>
        </w:tc>
        <w:tc>
          <w:tcPr>
            <w:tcW w:w="612" w:type="pct"/>
            <w:vMerge w:val="restart"/>
            <w:vAlign w:val="center"/>
          </w:tcPr>
          <w:p w:rsidR="00D60980" w:rsidRPr="0072532C" w:rsidRDefault="007C3F07" w:rsidP="00D60980">
            <w:pPr>
              <w:spacing w:before="0"/>
              <w:jc w:val="center"/>
              <w:rPr>
                <w:sz w:val="18"/>
                <w:szCs w:val="18"/>
              </w:rPr>
            </w:pPr>
            <w:r>
              <w:rPr>
                <w:sz w:val="18"/>
                <w:szCs w:val="18"/>
              </w:rPr>
              <w:t>R</w:t>
            </w:r>
            <w:r w:rsidR="00D60980" w:rsidRPr="0072532C">
              <w:rPr>
                <w:sz w:val="18"/>
                <w:szCs w:val="18"/>
              </w:rPr>
              <w:t>outier</w:t>
            </w:r>
          </w:p>
        </w:tc>
        <w:tc>
          <w:tcPr>
            <w:tcW w:w="763" w:type="pct"/>
            <w:vAlign w:val="center"/>
          </w:tcPr>
          <w:p w:rsidR="00D60980" w:rsidRPr="0072532C" w:rsidRDefault="00D60980" w:rsidP="00D60980">
            <w:pPr>
              <w:spacing w:before="0"/>
              <w:jc w:val="center"/>
              <w:rPr>
                <w:sz w:val="18"/>
                <w:szCs w:val="18"/>
              </w:rPr>
            </w:pPr>
            <w:r w:rsidRPr="0072532C">
              <w:rPr>
                <w:sz w:val="18"/>
                <w:szCs w:val="18"/>
              </w:rPr>
              <w:t>Systèmes poulie-courroie</w:t>
            </w:r>
          </w:p>
        </w:tc>
        <w:tc>
          <w:tcPr>
            <w:tcW w:w="1297" w:type="pct"/>
            <w:vAlign w:val="center"/>
          </w:tcPr>
          <w:p w:rsidR="00D60980" w:rsidRPr="003B0DDD" w:rsidRDefault="00D60980" w:rsidP="00D60980">
            <w:pPr>
              <w:spacing w:before="0"/>
              <w:jc w:val="center"/>
              <w:rPr>
                <w:sz w:val="18"/>
                <w:szCs w:val="18"/>
              </w:rPr>
            </w:pPr>
            <w:r w:rsidRPr="003B0DDD">
              <w:rPr>
                <w:sz w:val="18"/>
                <w:szCs w:val="18"/>
              </w:rPr>
              <w:t>20 % R-404A</w:t>
            </w:r>
          </w:p>
          <w:p w:rsidR="00D60980" w:rsidRPr="003B0DDD" w:rsidRDefault="00D60980" w:rsidP="00D60980">
            <w:pPr>
              <w:spacing w:before="0"/>
              <w:jc w:val="center"/>
              <w:rPr>
                <w:sz w:val="18"/>
                <w:szCs w:val="18"/>
              </w:rPr>
            </w:pPr>
            <w:r w:rsidRPr="003B0DDD">
              <w:rPr>
                <w:sz w:val="18"/>
                <w:szCs w:val="18"/>
              </w:rPr>
              <w:t>80 % R-134a</w:t>
            </w:r>
          </w:p>
          <w:p w:rsidR="00D60980" w:rsidRPr="003B0DDD" w:rsidRDefault="00D60980" w:rsidP="00D60980">
            <w:pPr>
              <w:spacing w:before="0"/>
              <w:jc w:val="center"/>
              <w:rPr>
                <w:sz w:val="18"/>
                <w:szCs w:val="18"/>
              </w:rPr>
            </w:pP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20</w:t>
            </w:r>
            <w:r w:rsidR="007C3F07">
              <w:rPr>
                <w:rFonts w:cstheme="minorHAnsi"/>
                <w:sz w:val="18"/>
                <w:szCs w:val="18"/>
              </w:rPr>
              <w:t xml:space="preserve"> </w:t>
            </w:r>
            <w:r w:rsidRPr="00934858">
              <w:rPr>
                <w:rFonts w:cstheme="minorHAnsi"/>
                <w:sz w:val="18"/>
                <w:szCs w:val="18"/>
              </w:rPr>
              <w:t>% R-22</w:t>
            </w:r>
          </w:p>
          <w:p w:rsidR="00D60980" w:rsidRPr="00934858" w:rsidRDefault="00D60980" w:rsidP="00D60980">
            <w:pPr>
              <w:spacing w:before="0"/>
              <w:jc w:val="center"/>
              <w:rPr>
                <w:rFonts w:cstheme="minorHAnsi"/>
                <w:sz w:val="18"/>
                <w:szCs w:val="18"/>
              </w:rPr>
            </w:pPr>
            <w:r w:rsidRPr="00934858">
              <w:rPr>
                <w:rFonts w:cstheme="minorHAnsi"/>
                <w:sz w:val="18"/>
                <w:szCs w:val="18"/>
              </w:rPr>
              <w:t>80</w:t>
            </w:r>
            <w:r w:rsidR="007C3F07">
              <w:rPr>
                <w:rFonts w:cstheme="minorHAnsi"/>
                <w:sz w:val="18"/>
                <w:szCs w:val="18"/>
              </w:rPr>
              <w:t xml:space="preserve"> </w:t>
            </w:r>
            <w:r w:rsidRPr="00934858">
              <w:rPr>
                <w:rFonts w:cstheme="minorHAnsi"/>
                <w:sz w:val="18"/>
                <w:szCs w:val="18"/>
              </w:rPr>
              <w:t>% R-134a</w:t>
            </w:r>
          </w:p>
        </w:tc>
      </w:tr>
      <w:tr w:rsidR="00D60980" w:rsidRPr="0072532C" w:rsidTr="00F9187E">
        <w:trPr>
          <w:trHeight w:val="281"/>
        </w:trPr>
        <w:tc>
          <w:tcPr>
            <w:tcW w:w="973" w:type="pct"/>
            <w:vMerge/>
            <w:vAlign w:val="center"/>
          </w:tcPr>
          <w:p w:rsidR="00D60980" w:rsidRPr="0072532C" w:rsidRDefault="00D60980" w:rsidP="00D60980">
            <w:pPr>
              <w:spacing w:before="0"/>
              <w:jc w:val="center"/>
              <w:rPr>
                <w:b/>
                <w:sz w:val="18"/>
                <w:szCs w:val="18"/>
              </w:rPr>
            </w:pPr>
          </w:p>
        </w:tc>
        <w:tc>
          <w:tcPr>
            <w:tcW w:w="612" w:type="pct"/>
            <w:vMerge/>
            <w:vAlign w:val="center"/>
          </w:tcPr>
          <w:p w:rsidR="00D60980" w:rsidRPr="0072532C" w:rsidRDefault="00D60980" w:rsidP="00D60980">
            <w:pPr>
              <w:spacing w:before="0"/>
              <w:jc w:val="center"/>
              <w:rPr>
                <w:sz w:val="18"/>
                <w:szCs w:val="18"/>
              </w:rPr>
            </w:pPr>
          </w:p>
        </w:tc>
        <w:tc>
          <w:tcPr>
            <w:tcW w:w="763" w:type="pct"/>
            <w:vAlign w:val="center"/>
          </w:tcPr>
          <w:p w:rsidR="00D60980" w:rsidRPr="0072532C" w:rsidRDefault="00D60980" w:rsidP="00D60980">
            <w:pPr>
              <w:spacing w:before="0"/>
              <w:jc w:val="center"/>
              <w:rPr>
                <w:sz w:val="18"/>
                <w:szCs w:val="18"/>
              </w:rPr>
            </w:pPr>
            <w:r w:rsidRPr="0072532C">
              <w:rPr>
                <w:sz w:val="18"/>
                <w:szCs w:val="18"/>
              </w:rPr>
              <w:t>Systèmes autonomes</w:t>
            </w:r>
          </w:p>
        </w:tc>
        <w:tc>
          <w:tcPr>
            <w:tcW w:w="1297" w:type="pct"/>
            <w:vAlign w:val="center"/>
          </w:tcPr>
          <w:p w:rsidR="00D60980" w:rsidRPr="003B0DDD" w:rsidRDefault="00D60980" w:rsidP="00D60980">
            <w:pPr>
              <w:spacing w:before="0"/>
              <w:jc w:val="center"/>
              <w:rPr>
                <w:sz w:val="18"/>
                <w:szCs w:val="18"/>
              </w:rPr>
            </w:pPr>
            <w:r w:rsidRPr="003B0DDD">
              <w:rPr>
                <w:sz w:val="18"/>
                <w:szCs w:val="18"/>
              </w:rPr>
              <w:t>100 % R-404A</w:t>
            </w:r>
          </w:p>
          <w:p w:rsidR="00D60980" w:rsidRPr="003B0DDD" w:rsidRDefault="00D60980" w:rsidP="00D60980">
            <w:pPr>
              <w:spacing w:before="0"/>
              <w:jc w:val="center"/>
              <w:rPr>
                <w:sz w:val="18"/>
                <w:szCs w:val="18"/>
              </w:rPr>
            </w:pP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30</w:t>
            </w:r>
            <w:r w:rsidR="007C3F07">
              <w:rPr>
                <w:rFonts w:cstheme="minorHAnsi"/>
                <w:sz w:val="18"/>
                <w:szCs w:val="18"/>
              </w:rPr>
              <w:t xml:space="preserve"> </w:t>
            </w:r>
            <w:r w:rsidRPr="00934858">
              <w:rPr>
                <w:rFonts w:cstheme="minorHAnsi"/>
                <w:sz w:val="18"/>
                <w:szCs w:val="18"/>
              </w:rPr>
              <w:t>% R-404A</w:t>
            </w:r>
          </w:p>
          <w:p w:rsidR="00D60980" w:rsidRPr="00934858" w:rsidRDefault="00D60980" w:rsidP="00D60980">
            <w:pPr>
              <w:spacing w:before="0"/>
              <w:jc w:val="center"/>
              <w:rPr>
                <w:rFonts w:cstheme="minorHAnsi"/>
                <w:sz w:val="18"/>
                <w:szCs w:val="18"/>
              </w:rPr>
            </w:pPr>
            <w:r w:rsidRPr="00934858">
              <w:rPr>
                <w:rFonts w:cstheme="minorHAnsi"/>
                <w:sz w:val="18"/>
                <w:szCs w:val="18"/>
              </w:rPr>
              <w:t>70</w:t>
            </w:r>
            <w:r w:rsidR="007C3F07">
              <w:rPr>
                <w:rFonts w:cstheme="minorHAnsi"/>
                <w:sz w:val="18"/>
                <w:szCs w:val="18"/>
              </w:rPr>
              <w:t xml:space="preserve"> </w:t>
            </w:r>
            <w:r w:rsidRPr="00934858">
              <w:rPr>
                <w:rFonts w:cstheme="minorHAnsi"/>
                <w:sz w:val="18"/>
                <w:szCs w:val="18"/>
              </w:rPr>
              <w:t>% R-22</w:t>
            </w:r>
          </w:p>
        </w:tc>
      </w:tr>
      <w:tr w:rsidR="00D60980" w:rsidRPr="0072532C" w:rsidTr="00F9187E">
        <w:trPr>
          <w:trHeight w:val="94"/>
        </w:trPr>
        <w:tc>
          <w:tcPr>
            <w:tcW w:w="973" w:type="pct"/>
            <w:vMerge w:val="restart"/>
            <w:vAlign w:val="center"/>
          </w:tcPr>
          <w:p w:rsidR="00D60980" w:rsidRPr="0072532C" w:rsidRDefault="00D60980" w:rsidP="00D60980">
            <w:pPr>
              <w:spacing w:before="0"/>
              <w:jc w:val="center"/>
              <w:rPr>
                <w:b/>
                <w:sz w:val="18"/>
                <w:szCs w:val="18"/>
              </w:rPr>
            </w:pPr>
            <w:r w:rsidRPr="0072532C">
              <w:rPr>
                <w:b/>
                <w:sz w:val="18"/>
                <w:szCs w:val="18"/>
              </w:rPr>
              <w:t>Froid Industriel</w:t>
            </w:r>
          </w:p>
        </w:tc>
        <w:tc>
          <w:tcPr>
            <w:tcW w:w="612" w:type="pct"/>
            <w:vMerge w:val="restart"/>
            <w:vAlign w:val="center"/>
          </w:tcPr>
          <w:p w:rsidR="00D60980" w:rsidRPr="0072532C" w:rsidRDefault="00D60980" w:rsidP="00D60980">
            <w:pPr>
              <w:spacing w:before="0"/>
              <w:jc w:val="center"/>
              <w:rPr>
                <w:sz w:val="18"/>
                <w:szCs w:val="18"/>
              </w:rPr>
            </w:pPr>
            <w:r w:rsidRPr="0072532C">
              <w:rPr>
                <w:sz w:val="18"/>
                <w:szCs w:val="18"/>
              </w:rPr>
              <w:t>Agro</w:t>
            </w:r>
            <w:r w:rsidR="007C3F07">
              <w:rPr>
                <w:sz w:val="18"/>
                <w:szCs w:val="18"/>
              </w:rPr>
              <w:t>-</w:t>
            </w:r>
            <w:r w:rsidRPr="0072532C">
              <w:rPr>
                <w:sz w:val="18"/>
                <w:szCs w:val="18"/>
              </w:rPr>
              <w:t>alimentaire</w:t>
            </w:r>
          </w:p>
        </w:tc>
        <w:tc>
          <w:tcPr>
            <w:tcW w:w="763" w:type="pct"/>
            <w:vAlign w:val="center"/>
          </w:tcPr>
          <w:p w:rsidR="00D60980" w:rsidRPr="0072532C" w:rsidRDefault="00D60980" w:rsidP="00D60980">
            <w:pPr>
              <w:spacing w:before="0"/>
              <w:jc w:val="center"/>
              <w:rPr>
                <w:sz w:val="18"/>
                <w:szCs w:val="18"/>
              </w:rPr>
            </w:pPr>
            <w:r w:rsidRPr="0072532C">
              <w:rPr>
                <w:sz w:val="18"/>
                <w:szCs w:val="18"/>
              </w:rPr>
              <w:t>Industrie de la viande</w:t>
            </w:r>
          </w:p>
        </w:tc>
        <w:tc>
          <w:tcPr>
            <w:tcW w:w="1297" w:type="pct"/>
            <w:vAlign w:val="center"/>
          </w:tcPr>
          <w:p w:rsidR="00D60980" w:rsidRPr="003B0DDD" w:rsidRDefault="00D60980" w:rsidP="00D60980">
            <w:pPr>
              <w:spacing w:before="0"/>
              <w:jc w:val="center"/>
              <w:rPr>
                <w:sz w:val="18"/>
                <w:szCs w:val="18"/>
              </w:rPr>
            </w:pPr>
            <w:r w:rsidRPr="003B0DDD">
              <w:rPr>
                <w:sz w:val="18"/>
                <w:szCs w:val="18"/>
              </w:rPr>
              <w:t>58 % R-404A</w:t>
            </w:r>
          </w:p>
          <w:p w:rsidR="00D60980" w:rsidRPr="003B0DDD" w:rsidRDefault="00D60980" w:rsidP="00D60980">
            <w:pPr>
              <w:spacing w:before="0"/>
              <w:jc w:val="center"/>
              <w:rPr>
                <w:sz w:val="18"/>
                <w:szCs w:val="18"/>
              </w:rPr>
            </w:pPr>
            <w:r w:rsidRPr="003B0DDD">
              <w:rPr>
                <w:sz w:val="18"/>
                <w:szCs w:val="18"/>
              </w:rPr>
              <w:t>42 % R-717</w:t>
            </w:r>
          </w:p>
          <w:p w:rsidR="00D60980" w:rsidRPr="003B0DDD" w:rsidRDefault="00D60980" w:rsidP="00D60980">
            <w:pPr>
              <w:spacing w:before="0"/>
              <w:jc w:val="center"/>
              <w:rPr>
                <w:sz w:val="18"/>
                <w:szCs w:val="18"/>
              </w:rPr>
            </w:pPr>
          </w:p>
        </w:tc>
        <w:tc>
          <w:tcPr>
            <w:tcW w:w="1355" w:type="pct"/>
            <w:vAlign w:val="center"/>
          </w:tcPr>
          <w:p w:rsidR="00D60980" w:rsidRPr="00934858" w:rsidRDefault="00D60980" w:rsidP="00D60980">
            <w:pPr>
              <w:spacing w:before="0"/>
              <w:jc w:val="center"/>
              <w:rPr>
                <w:sz w:val="18"/>
                <w:szCs w:val="18"/>
              </w:rPr>
            </w:pPr>
            <w:r w:rsidRPr="00934858">
              <w:rPr>
                <w:sz w:val="18"/>
                <w:szCs w:val="18"/>
              </w:rPr>
              <w:t>10 % R-404A</w:t>
            </w:r>
          </w:p>
          <w:p w:rsidR="00D60980" w:rsidRPr="00934858" w:rsidRDefault="00D60980" w:rsidP="00D60980">
            <w:pPr>
              <w:spacing w:before="0"/>
              <w:jc w:val="center"/>
              <w:rPr>
                <w:sz w:val="18"/>
                <w:szCs w:val="18"/>
              </w:rPr>
            </w:pPr>
            <w:r w:rsidRPr="00934858">
              <w:rPr>
                <w:sz w:val="18"/>
                <w:szCs w:val="18"/>
              </w:rPr>
              <w:t>40 % R-717</w:t>
            </w:r>
          </w:p>
          <w:p w:rsidR="00D60980" w:rsidRPr="00934858" w:rsidRDefault="00D60980" w:rsidP="00D60980">
            <w:pPr>
              <w:spacing w:before="0"/>
              <w:jc w:val="center"/>
              <w:rPr>
                <w:rFonts w:cs="Times New Roman"/>
                <w:sz w:val="18"/>
                <w:szCs w:val="18"/>
              </w:rPr>
            </w:pPr>
            <w:r w:rsidRPr="00934858">
              <w:rPr>
                <w:sz w:val="18"/>
                <w:szCs w:val="18"/>
              </w:rPr>
              <w:t>50 % R-22</w:t>
            </w:r>
          </w:p>
        </w:tc>
      </w:tr>
      <w:tr w:rsidR="00D60980" w:rsidRPr="0072532C" w:rsidTr="00F9187E">
        <w:trPr>
          <w:trHeight w:val="94"/>
        </w:trPr>
        <w:tc>
          <w:tcPr>
            <w:tcW w:w="973" w:type="pct"/>
            <w:vMerge/>
            <w:vAlign w:val="center"/>
          </w:tcPr>
          <w:p w:rsidR="00D60980" w:rsidRPr="0072532C" w:rsidRDefault="00D60980" w:rsidP="00D60980">
            <w:pPr>
              <w:spacing w:before="0"/>
              <w:jc w:val="center"/>
              <w:rPr>
                <w:sz w:val="18"/>
                <w:szCs w:val="18"/>
              </w:rPr>
            </w:pPr>
          </w:p>
        </w:tc>
        <w:tc>
          <w:tcPr>
            <w:tcW w:w="612" w:type="pct"/>
            <w:vMerge/>
            <w:vAlign w:val="center"/>
          </w:tcPr>
          <w:p w:rsidR="00D60980" w:rsidRPr="0072532C" w:rsidRDefault="00D60980" w:rsidP="00D60980">
            <w:pPr>
              <w:spacing w:before="0"/>
              <w:jc w:val="center"/>
              <w:rPr>
                <w:sz w:val="18"/>
                <w:szCs w:val="18"/>
              </w:rPr>
            </w:pPr>
          </w:p>
        </w:tc>
        <w:tc>
          <w:tcPr>
            <w:tcW w:w="763" w:type="pct"/>
            <w:vAlign w:val="center"/>
          </w:tcPr>
          <w:p w:rsidR="00D60980" w:rsidRPr="0072532C" w:rsidRDefault="00D60980" w:rsidP="00D60980">
            <w:pPr>
              <w:spacing w:before="0"/>
              <w:jc w:val="center"/>
              <w:rPr>
                <w:sz w:val="18"/>
                <w:szCs w:val="18"/>
              </w:rPr>
            </w:pPr>
            <w:r w:rsidRPr="0072532C">
              <w:rPr>
                <w:sz w:val="18"/>
                <w:szCs w:val="18"/>
              </w:rPr>
              <w:t>Laiteries</w:t>
            </w:r>
          </w:p>
        </w:tc>
        <w:tc>
          <w:tcPr>
            <w:tcW w:w="1297" w:type="pct"/>
            <w:vAlign w:val="center"/>
          </w:tcPr>
          <w:p w:rsidR="00D60980" w:rsidRPr="003B0DDD" w:rsidRDefault="00D60980" w:rsidP="00D60980">
            <w:pPr>
              <w:spacing w:before="0"/>
              <w:jc w:val="center"/>
              <w:rPr>
                <w:sz w:val="18"/>
                <w:szCs w:val="18"/>
              </w:rPr>
            </w:pPr>
            <w:r w:rsidRPr="003B0DDD">
              <w:rPr>
                <w:sz w:val="18"/>
                <w:szCs w:val="18"/>
              </w:rPr>
              <w:t>58 % R-404A</w:t>
            </w:r>
          </w:p>
          <w:p w:rsidR="00D60980" w:rsidRPr="003B0DDD" w:rsidRDefault="00D60980" w:rsidP="00D60980">
            <w:pPr>
              <w:spacing w:before="0"/>
              <w:jc w:val="center"/>
              <w:rPr>
                <w:sz w:val="18"/>
                <w:szCs w:val="18"/>
              </w:rPr>
            </w:pPr>
            <w:r w:rsidRPr="003B0DDD">
              <w:rPr>
                <w:sz w:val="18"/>
                <w:szCs w:val="18"/>
              </w:rPr>
              <w:t>42 % R-717</w:t>
            </w:r>
          </w:p>
          <w:p w:rsidR="00D60980" w:rsidRPr="003B0DDD" w:rsidRDefault="00D60980" w:rsidP="00D60980">
            <w:pPr>
              <w:spacing w:before="0"/>
              <w:jc w:val="center"/>
              <w:rPr>
                <w:sz w:val="18"/>
                <w:szCs w:val="18"/>
              </w:rPr>
            </w:pPr>
          </w:p>
        </w:tc>
        <w:tc>
          <w:tcPr>
            <w:tcW w:w="1355" w:type="pct"/>
            <w:vAlign w:val="center"/>
          </w:tcPr>
          <w:p w:rsidR="00D60980" w:rsidRPr="00934858" w:rsidRDefault="00D60980" w:rsidP="00D60980">
            <w:pPr>
              <w:spacing w:before="0"/>
              <w:jc w:val="center"/>
              <w:rPr>
                <w:sz w:val="18"/>
                <w:szCs w:val="18"/>
              </w:rPr>
            </w:pPr>
            <w:r w:rsidRPr="00934858">
              <w:rPr>
                <w:sz w:val="18"/>
                <w:szCs w:val="18"/>
              </w:rPr>
              <w:t>15 % R-404A</w:t>
            </w:r>
          </w:p>
          <w:p w:rsidR="00D60980" w:rsidRPr="00934858" w:rsidRDefault="00D60980" w:rsidP="00D60980">
            <w:pPr>
              <w:spacing w:before="0"/>
              <w:jc w:val="center"/>
              <w:rPr>
                <w:sz w:val="18"/>
                <w:szCs w:val="18"/>
              </w:rPr>
            </w:pPr>
            <w:r w:rsidRPr="00934858">
              <w:rPr>
                <w:sz w:val="18"/>
                <w:szCs w:val="18"/>
              </w:rPr>
              <w:t>30 % R-717</w:t>
            </w:r>
          </w:p>
          <w:p w:rsidR="00D60980" w:rsidRPr="00934858" w:rsidRDefault="00D60980" w:rsidP="00D60980">
            <w:pPr>
              <w:spacing w:before="0"/>
              <w:jc w:val="center"/>
              <w:rPr>
                <w:rFonts w:cs="Times New Roman"/>
                <w:sz w:val="18"/>
                <w:szCs w:val="18"/>
                <w:lang w:val="fr-FR"/>
              </w:rPr>
            </w:pPr>
            <w:r w:rsidRPr="00934858">
              <w:rPr>
                <w:sz w:val="18"/>
                <w:szCs w:val="18"/>
              </w:rPr>
              <w:t>50 % R-22</w:t>
            </w:r>
          </w:p>
        </w:tc>
      </w:tr>
      <w:tr w:rsidR="00D60980" w:rsidRPr="0072532C" w:rsidTr="00F9187E">
        <w:trPr>
          <w:trHeight w:val="94"/>
        </w:trPr>
        <w:tc>
          <w:tcPr>
            <w:tcW w:w="973" w:type="pct"/>
            <w:vMerge/>
            <w:vAlign w:val="center"/>
          </w:tcPr>
          <w:p w:rsidR="00D60980" w:rsidRPr="0072532C" w:rsidRDefault="00D60980" w:rsidP="00D60980">
            <w:pPr>
              <w:spacing w:before="0"/>
              <w:jc w:val="center"/>
              <w:rPr>
                <w:sz w:val="18"/>
                <w:szCs w:val="18"/>
              </w:rPr>
            </w:pPr>
          </w:p>
        </w:tc>
        <w:tc>
          <w:tcPr>
            <w:tcW w:w="612" w:type="pct"/>
            <w:vMerge/>
            <w:vAlign w:val="center"/>
          </w:tcPr>
          <w:p w:rsidR="00D60980" w:rsidRPr="0072532C" w:rsidRDefault="00D60980" w:rsidP="00D60980">
            <w:pPr>
              <w:spacing w:before="0"/>
              <w:jc w:val="center"/>
              <w:rPr>
                <w:sz w:val="18"/>
                <w:szCs w:val="18"/>
              </w:rPr>
            </w:pPr>
          </w:p>
        </w:tc>
        <w:tc>
          <w:tcPr>
            <w:tcW w:w="763" w:type="pct"/>
            <w:vAlign w:val="center"/>
          </w:tcPr>
          <w:p w:rsidR="00D60980" w:rsidRPr="0072532C" w:rsidRDefault="00D60980" w:rsidP="00D60980">
            <w:pPr>
              <w:spacing w:before="0"/>
              <w:jc w:val="center"/>
              <w:rPr>
                <w:sz w:val="18"/>
                <w:szCs w:val="18"/>
              </w:rPr>
            </w:pPr>
            <w:r w:rsidRPr="0072532C">
              <w:rPr>
                <w:sz w:val="18"/>
                <w:szCs w:val="18"/>
              </w:rPr>
              <w:t>Entrepôts</w:t>
            </w:r>
          </w:p>
        </w:tc>
        <w:tc>
          <w:tcPr>
            <w:tcW w:w="1297" w:type="pct"/>
            <w:vAlign w:val="center"/>
          </w:tcPr>
          <w:p w:rsidR="00D60980" w:rsidRPr="003B0DDD" w:rsidRDefault="00D60980" w:rsidP="00D60980">
            <w:pPr>
              <w:spacing w:before="0"/>
              <w:jc w:val="center"/>
              <w:rPr>
                <w:sz w:val="18"/>
                <w:szCs w:val="18"/>
              </w:rPr>
            </w:pPr>
            <w:r w:rsidRPr="003B0DDD">
              <w:rPr>
                <w:sz w:val="18"/>
                <w:szCs w:val="18"/>
              </w:rPr>
              <w:t>90 % R-404A</w:t>
            </w:r>
          </w:p>
          <w:p w:rsidR="00D60980" w:rsidRPr="003B0DDD" w:rsidRDefault="00D60980" w:rsidP="00D60980">
            <w:pPr>
              <w:spacing w:before="0"/>
              <w:jc w:val="center"/>
              <w:rPr>
                <w:sz w:val="18"/>
                <w:szCs w:val="18"/>
              </w:rPr>
            </w:pPr>
            <w:r w:rsidRPr="003B0DDD">
              <w:rPr>
                <w:sz w:val="18"/>
                <w:szCs w:val="18"/>
              </w:rPr>
              <w:t>10 % R-717</w:t>
            </w:r>
          </w:p>
        </w:tc>
        <w:tc>
          <w:tcPr>
            <w:tcW w:w="1355" w:type="pct"/>
            <w:vAlign w:val="center"/>
          </w:tcPr>
          <w:p w:rsidR="00D60980" w:rsidRPr="00934858" w:rsidRDefault="00D60980" w:rsidP="00D60980">
            <w:pPr>
              <w:spacing w:before="0"/>
              <w:jc w:val="center"/>
              <w:rPr>
                <w:sz w:val="18"/>
                <w:szCs w:val="18"/>
              </w:rPr>
            </w:pPr>
            <w:r w:rsidRPr="00934858">
              <w:rPr>
                <w:sz w:val="18"/>
                <w:szCs w:val="18"/>
              </w:rPr>
              <w:t>90 % R-404A</w:t>
            </w:r>
          </w:p>
          <w:p w:rsidR="00D60980" w:rsidRPr="00934858" w:rsidRDefault="00D60980" w:rsidP="00D60980">
            <w:pPr>
              <w:spacing w:before="0"/>
              <w:jc w:val="center"/>
              <w:rPr>
                <w:rFonts w:cs="Times New Roman"/>
                <w:sz w:val="18"/>
                <w:szCs w:val="18"/>
                <w:lang w:val="fr-FR"/>
              </w:rPr>
            </w:pPr>
            <w:r w:rsidRPr="00934858">
              <w:rPr>
                <w:sz w:val="18"/>
                <w:szCs w:val="18"/>
              </w:rPr>
              <w:t>10 % R-717</w:t>
            </w:r>
          </w:p>
        </w:tc>
      </w:tr>
      <w:tr w:rsidR="00D60980" w:rsidRPr="0072532C" w:rsidTr="00F9187E">
        <w:trPr>
          <w:trHeight w:val="140"/>
        </w:trPr>
        <w:tc>
          <w:tcPr>
            <w:tcW w:w="973" w:type="pct"/>
            <w:vMerge/>
            <w:vAlign w:val="center"/>
          </w:tcPr>
          <w:p w:rsidR="00D60980" w:rsidRPr="0072532C" w:rsidRDefault="00D60980" w:rsidP="00D60980">
            <w:pPr>
              <w:spacing w:before="0"/>
              <w:jc w:val="center"/>
              <w:rPr>
                <w:sz w:val="18"/>
                <w:szCs w:val="18"/>
              </w:rPr>
            </w:pPr>
          </w:p>
        </w:tc>
        <w:tc>
          <w:tcPr>
            <w:tcW w:w="1375" w:type="pct"/>
            <w:gridSpan w:val="2"/>
            <w:vAlign w:val="center"/>
          </w:tcPr>
          <w:p w:rsidR="00D60980" w:rsidRPr="0072532C" w:rsidRDefault="00D60980" w:rsidP="00D60980">
            <w:pPr>
              <w:spacing w:before="0"/>
              <w:jc w:val="center"/>
              <w:rPr>
                <w:sz w:val="18"/>
                <w:szCs w:val="18"/>
              </w:rPr>
            </w:pPr>
            <w:r w:rsidRPr="0072532C">
              <w:rPr>
                <w:sz w:val="18"/>
                <w:szCs w:val="18"/>
              </w:rPr>
              <w:t>Tanks à lait</w:t>
            </w:r>
          </w:p>
        </w:tc>
        <w:tc>
          <w:tcPr>
            <w:tcW w:w="1297" w:type="pct"/>
            <w:vAlign w:val="center"/>
          </w:tcPr>
          <w:p w:rsidR="00D60980" w:rsidRPr="003B0DDD" w:rsidRDefault="00D60980" w:rsidP="00D60980">
            <w:pPr>
              <w:spacing w:before="0"/>
              <w:jc w:val="center"/>
              <w:rPr>
                <w:sz w:val="18"/>
                <w:szCs w:val="18"/>
              </w:rPr>
            </w:pPr>
            <w:r w:rsidRPr="003B0DDD">
              <w:rPr>
                <w:sz w:val="18"/>
                <w:szCs w:val="18"/>
              </w:rPr>
              <w:t>100 % R-404A</w:t>
            </w: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80</w:t>
            </w:r>
            <w:r w:rsidR="007C3F07">
              <w:rPr>
                <w:rFonts w:cstheme="minorHAnsi"/>
                <w:sz w:val="18"/>
                <w:szCs w:val="18"/>
              </w:rPr>
              <w:t xml:space="preserve"> </w:t>
            </w:r>
            <w:r w:rsidRPr="00934858">
              <w:rPr>
                <w:rFonts w:cstheme="minorHAnsi"/>
                <w:sz w:val="18"/>
                <w:szCs w:val="18"/>
              </w:rPr>
              <w:t>% R-22</w:t>
            </w:r>
          </w:p>
          <w:p w:rsidR="00D60980" w:rsidRPr="00934858" w:rsidRDefault="00D60980" w:rsidP="00D60980">
            <w:pPr>
              <w:spacing w:before="0"/>
              <w:jc w:val="center"/>
              <w:rPr>
                <w:rFonts w:cstheme="minorHAnsi"/>
                <w:sz w:val="18"/>
                <w:szCs w:val="18"/>
              </w:rPr>
            </w:pPr>
            <w:r w:rsidRPr="00934858">
              <w:rPr>
                <w:rFonts w:cstheme="minorHAnsi"/>
                <w:sz w:val="18"/>
                <w:szCs w:val="18"/>
              </w:rPr>
              <w:t>20</w:t>
            </w:r>
            <w:r w:rsidR="007C3F07">
              <w:rPr>
                <w:rFonts w:cstheme="minorHAnsi"/>
                <w:sz w:val="18"/>
                <w:szCs w:val="18"/>
              </w:rPr>
              <w:t xml:space="preserve"> </w:t>
            </w:r>
            <w:r w:rsidRPr="00934858">
              <w:rPr>
                <w:rFonts w:cstheme="minorHAnsi"/>
                <w:sz w:val="18"/>
                <w:szCs w:val="18"/>
              </w:rPr>
              <w:t>% R-404A</w:t>
            </w:r>
          </w:p>
        </w:tc>
      </w:tr>
      <w:tr w:rsidR="00D60980" w:rsidRPr="0072532C" w:rsidTr="00F9187E">
        <w:trPr>
          <w:trHeight w:val="236"/>
        </w:trPr>
        <w:tc>
          <w:tcPr>
            <w:tcW w:w="973" w:type="pct"/>
            <w:vMerge/>
            <w:vAlign w:val="center"/>
          </w:tcPr>
          <w:p w:rsidR="00D60980" w:rsidRPr="0072532C" w:rsidRDefault="00D60980" w:rsidP="00D60980">
            <w:pPr>
              <w:spacing w:before="0"/>
              <w:jc w:val="center"/>
              <w:rPr>
                <w:sz w:val="18"/>
                <w:szCs w:val="18"/>
              </w:rPr>
            </w:pPr>
          </w:p>
        </w:tc>
        <w:tc>
          <w:tcPr>
            <w:tcW w:w="1375" w:type="pct"/>
            <w:gridSpan w:val="2"/>
            <w:vAlign w:val="center"/>
          </w:tcPr>
          <w:p w:rsidR="00D60980" w:rsidRPr="0072532C" w:rsidRDefault="00D60980" w:rsidP="00D60980">
            <w:pPr>
              <w:spacing w:before="0"/>
              <w:jc w:val="center"/>
              <w:rPr>
                <w:sz w:val="18"/>
                <w:szCs w:val="18"/>
              </w:rPr>
            </w:pPr>
            <w:r w:rsidRPr="0072532C">
              <w:rPr>
                <w:sz w:val="18"/>
                <w:szCs w:val="18"/>
              </w:rPr>
              <w:t>Patinoires</w:t>
            </w:r>
          </w:p>
        </w:tc>
        <w:tc>
          <w:tcPr>
            <w:tcW w:w="1297" w:type="pct"/>
            <w:vAlign w:val="center"/>
          </w:tcPr>
          <w:p w:rsidR="00D60980" w:rsidRPr="003B0DDD" w:rsidRDefault="00D60980" w:rsidP="00D60980">
            <w:pPr>
              <w:spacing w:before="0"/>
              <w:jc w:val="center"/>
              <w:rPr>
                <w:sz w:val="18"/>
                <w:szCs w:val="18"/>
              </w:rPr>
            </w:pPr>
            <w:r w:rsidRPr="003B0DDD">
              <w:rPr>
                <w:sz w:val="18"/>
                <w:szCs w:val="18"/>
              </w:rPr>
              <w:t>70 % R-134a</w:t>
            </w:r>
          </w:p>
          <w:p w:rsidR="00D60980" w:rsidRPr="003B0DDD" w:rsidRDefault="00D60980" w:rsidP="00D60980">
            <w:pPr>
              <w:spacing w:before="0"/>
              <w:jc w:val="center"/>
              <w:rPr>
                <w:sz w:val="18"/>
                <w:szCs w:val="18"/>
              </w:rPr>
            </w:pPr>
            <w:r w:rsidRPr="003B0DDD">
              <w:rPr>
                <w:sz w:val="18"/>
                <w:szCs w:val="18"/>
              </w:rPr>
              <w:t>25 % R-404A/ R-507</w:t>
            </w:r>
          </w:p>
          <w:p w:rsidR="00D60980" w:rsidRPr="003B0DDD" w:rsidRDefault="00D60980" w:rsidP="00D60980">
            <w:pPr>
              <w:spacing w:before="0"/>
              <w:jc w:val="center"/>
              <w:rPr>
                <w:sz w:val="18"/>
                <w:szCs w:val="18"/>
              </w:rPr>
            </w:pPr>
            <w:r w:rsidRPr="003B0DDD">
              <w:rPr>
                <w:sz w:val="18"/>
                <w:szCs w:val="18"/>
              </w:rPr>
              <w:t>5 % R-717</w:t>
            </w:r>
          </w:p>
        </w:tc>
        <w:tc>
          <w:tcPr>
            <w:tcW w:w="1355" w:type="pct"/>
            <w:vAlign w:val="center"/>
          </w:tcPr>
          <w:p w:rsidR="00D60980" w:rsidRPr="00934858" w:rsidRDefault="00D60980" w:rsidP="00D60980">
            <w:pPr>
              <w:spacing w:before="0"/>
              <w:jc w:val="center"/>
              <w:rPr>
                <w:sz w:val="18"/>
                <w:szCs w:val="18"/>
              </w:rPr>
            </w:pPr>
            <w:r w:rsidRPr="00934858">
              <w:rPr>
                <w:sz w:val="18"/>
                <w:szCs w:val="18"/>
              </w:rPr>
              <w:t>20 % R-404A</w:t>
            </w:r>
          </w:p>
          <w:p w:rsidR="00D60980" w:rsidRPr="00934858" w:rsidRDefault="00D60980" w:rsidP="00D60980">
            <w:pPr>
              <w:spacing w:before="0"/>
              <w:jc w:val="center"/>
              <w:rPr>
                <w:rFonts w:cstheme="minorHAnsi"/>
                <w:sz w:val="18"/>
                <w:szCs w:val="18"/>
              </w:rPr>
            </w:pPr>
            <w:r w:rsidRPr="00934858">
              <w:rPr>
                <w:rFonts w:cstheme="minorHAnsi"/>
                <w:sz w:val="18"/>
                <w:szCs w:val="18"/>
              </w:rPr>
              <w:t>75 % R-22</w:t>
            </w:r>
          </w:p>
          <w:p w:rsidR="00D60980" w:rsidRPr="00934858" w:rsidRDefault="00D60980" w:rsidP="00D60980">
            <w:pPr>
              <w:spacing w:before="0"/>
              <w:jc w:val="center"/>
              <w:rPr>
                <w:rFonts w:cstheme="minorHAnsi"/>
                <w:sz w:val="18"/>
                <w:szCs w:val="18"/>
              </w:rPr>
            </w:pPr>
            <w:r w:rsidRPr="00934858">
              <w:rPr>
                <w:rFonts w:cstheme="minorHAnsi"/>
                <w:sz w:val="18"/>
                <w:szCs w:val="18"/>
              </w:rPr>
              <w:t>5 % R-717</w:t>
            </w:r>
          </w:p>
        </w:tc>
      </w:tr>
      <w:tr w:rsidR="00D60980" w:rsidRPr="0072532C" w:rsidTr="00F9187E">
        <w:trPr>
          <w:trHeight w:val="268"/>
        </w:trPr>
        <w:tc>
          <w:tcPr>
            <w:tcW w:w="973" w:type="pct"/>
            <w:vMerge w:val="restart"/>
            <w:vAlign w:val="center"/>
          </w:tcPr>
          <w:p w:rsidR="00D60980" w:rsidRPr="0072532C" w:rsidRDefault="00D60980" w:rsidP="00D60980">
            <w:pPr>
              <w:spacing w:before="0"/>
              <w:jc w:val="center"/>
              <w:rPr>
                <w:b/>
                <w:sz w:val="18"/>
                <w:szCs w:val="18"/>
              </w:rPr>
            </w:pPr>
            <w:r w:rsidRPr="0072532C">
              <w:rPr>
                <w:b/>
                <w:sz w:val="18"/>
                <w:szCs w:val="18"/>
              </w:rPr>
              <w:t>Climatisation à Air</w:t>
            </w:r>
          </w:p>
        </w:tc>
        <w:tc>
          <w:tcPr>
            <w:tcW w:w="1375" w:type="pct"/>
            <w:gridSpan w:val="2"/>
            <w:vAlign w:val="center"/>
          </w:tcPr>
          <w:p w:rsidR="00D60980" w:rsidRPr="0072532C" w:rsidRDefault="00D60980" w:rsidP="00D60980">
            <w:pPr>
              <w:spacing w:before="0"/>
              <w:jc w:val="center"/>
              <w:rPr>
                <w:sz w:val="18"/>
                <w:szCs w:val="18"/>
              </w:rPr>
            </w:pPr>
            <w:r w:rsidRPr="0072532C">
              <w:rPr>
                <w:sz w:val="18"/>
                <w:szCs w:val="18"/>
              </w:rPr>
              <w:t>Mobile</w:t>
            </w:r>
          </w:p>
        </w:tc>
        <w:tc>
          <w:tcPr>
            <w:tcW w:w="1297" w:type="pct"/>
            <w:vAlign w:val="center"/>
          </w:tcPr>
          <w:p w:rsidR="00D60980" w:rsidRPr="003B0DDD" w:rsidRDefault="00D60980" w:rsidP="00D60980">
            <w:pPr>
              <w:spacing w:before="0"/>
              <w:jc w:val="center"/>
              <w:rPr>
                <w:sz w:val="18"/>
                <w:szCs w:val="18"/>
              </w:rPr>
            </w:pPr>
            <w:r w:rsidRPr="003B0DDD">
              <w:rPr>
                <w:sz w:val="18"/>
                <w:szCs w:val="18"/>
              </w:rPr>
              <w:t>100 % R-410A</w:t>
            </w: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50</w:t>
            </w:r>
            <w:r w:rsidR="007C3F07">
              <w:rPr>
                <w:rFonts w:cstheme="minorHAnsi"/>
                <w:sz w:val="18"/>
                <w:szCs w:val="18"/>
              </w:rPr>
              <w:t xml:space="preserve"> </w:t>
            </w:r>
            <w:r w:rsidRPr="00934858">
              <w:rPr>
                <w:rFonts w:cstheme="minorHAnsi"/>
                <w:sz w:val="18"/>
                <w:szCs w:val="18"/>
              </w:rPr>
              <w:t>% R-22</w:t>
            </w:r>
          </w:p>
          <w:p w:rsidR="00D60980" w:rsidRPr="00934858" w:rsidRDefault="00D60980" w:rsidP="00D60980">
            <w:pPr>
              <w:spacing w:before="0"/>
              <w:jc w:val="center"/>
              <w:rPr>
                <w:rFonts w:cstheme="minorHAnsi"/>
                <w:sz w:val="18"/>
                <w:szCs w:val="18"/>
              </w:rPr>
            </w:pPr>
            <w:r w:rsidRPr="00934858">
              <w:rPr>
                <w:rFonts w:cstheme="minorHAnsi"/>
                <w:sz w:val="18"/>
                <w:szCs w:val="18"/>
              </w:rPr>
              <w:t>50</w:t>
            </w:r>
            <w:r w:rsidR="007C3F07">
              <w:rPr>
                <w:rFonts w:cstheme="minorHAnsi"/>
                <w:sz w:val="18"/>
                <w:szCs w:val="18"/>
              </w:rPr>
              <w:t xml:space="preserve"> </w:t>
            </w:r>
            <w:r w:rsidRPr="00934858">
              <w:rPr>
                <w:rFonts w:cstheme="minorHAnsi"/>
                <w:sz w:val="18"/>
                <w:szCs w:val="18"/>
              </w:rPr>
              <w:t>% R-410A</w:t>
            </w:r>
          </w:p>
        </w:tc>
      </w:tr>
      <w:tr w:rsidR="00D60980" w:rsidRPr="0072532C" w:rsidTr="00F9187E">
        <w:trPr>
          <w:trHeight w:val="51"/>
        </w:trPr>
        <w:tc>
          <w:tcPr>
            <w:tcW w:w="973" w:type="pct"/>
            <w:vMerge/>
            <w:vAlign w:val="center"/>
          </w:tcPr>
          <w:p w:rsidR="00D60980" w:rsidRPr="0072532C" w:rsidRDefault="00D60980" w:rsidP="00D60980">
            <w:pPr>
              <w:spacing w:before="0"/>
              <w:jc w:val="center"/>
              <w:rPr>
                <w:sz w:val="18"/>
                <w:szCs w:val="18"/>
              </w:rPr>
            </w:pPr>
          </w:p>
        </w:tc>
        <w:tc>
          <w:tcPr>
            <w:tcW w:w="1375" w:type="pct"/>
            <w:gridSpan w:val="2"/>
            <w:vAlign w:val="center"/>
          </w:tcPr>
          <w:p w:rsidR="00D60980" w:rsidRPr="0072532C" w:rsidRDefault="00D60980" w:rsidP="00D60980">
            <w:pPr>
              <w:spacing w:before="0"/>
              <w:jc w:val="center"/>
              <w:rPr>
                <w:sz w:val="18"/>
                <w:szCs w:val="18"/>
              </w:rPr>
            </w:pPr>
            <w:r w:rsidRPr="0072532C">
              <w:rPr>
                <w:sz w:val="18"/>
                <w:szCs w:val="18"/>
              </w:rPr>
              <w:t>Rooftop</w:t>
            </w:r>
            <w:r w:rsidR="007C3F07">
              <w:rPr>
                <w:sz w:val="18"/>
                <w:szCs w:val="18"/>
              </w:rPr>
              <w:t>s</w:t>
            </w:r>
          </w:p>
        </w:tc>
        <w:tc>
          <w:tcPr>
            <w:tcW w:w="1297" w:type="pct"/>
            <w:vAlign w:val="center"/>
          </w:tcPr>
          <w:p w:rsidR="00D60980" w:rsidRPr="003B0DDD" w:rsidRDefault="00D60980" w:rsidP="00D60980">
            <w:pPr>
              <w:spacing w:before="0"/>
              <w:jc w:val="center"/>
              <w:rPr>
                <w:sz w:val="18"/>
                <w:szCs w:val="18"/>
              </w:rPr>
            </w:pPr>
            <w:r w:rsidRPr="003B0DDD">
              <w:rPr>
                <w:sz w:val="18"/>
                <w:szCs w:val="18"/>
              </w:rPr>
              <w:t>20 % R-407C</w:t>
            </w:r>
          </w:p>
          <w:p w:rsidR="00D60980" w:rsidRPr="003B0DDD" w:rsidRDefault="00D60980" w:rsidP="00D60980">
            <w:pPr>
              <w:spacing w:before="0"/>
              <w:jc w:val="center"/>
              <w:rPr>
                <w:sz w:val="18"/>
                <w:szCs w:val="18"/>
              </w:rPr>
            </w:pPr>
            <w:r w:rsidRPr="003B0DDD">
              <w:rPr>
                <w:sz w:val="18"/>
                <w:szCs w:val="18"/>
              </w:rPr>
              <w:t>80 % R-410A</w:t>
            </w: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70</w:t>
            </w:r>
            <w:r w:rsidR="007C3F07">
              <w:rPr>
                <w:rFonts w:cstheme="minorHAnsi"/>
                <w:sz w:val="18"/>
                <w:szCs w:val="18"/>
              </w:rPr>
              <w:t xml:space="preserve"> </w:t>
            </w:r>
            <w:r w:rsidRPr="00934858">
              <w:rPr>
                <w:rFonts w:cstheme="minorHAnsi"/>
                <w:sz w:val="18"/>
                <w:szCs w:val="18"/>
              </w:rPr>
              <w:t>% R-22</w:t>
            </w:r>
          </w:p>
          <w:p w:rsidR="00D60980" w:rsidRPr="00934858" w:rsidRDefault="00D60980" w:rsidP="00D60980">
            <w:pPr>
              <w:spacing w:before="0"/>
              <w:jc w:val="center"/>
              <w:rPr>
                <w:rFonts w:cstheme="minorHAnsi"/>
                <w:sz w:val="18"/>
                <w:szCs w:val="18"/>
              </w:rPr>
            </w:pPr>
            <w:r w:rsidRPr="00934858">
              <w:rPr>
                <w:rFonts w:cstheme="minorHAnsi"/>
                <w:sz w:val="18"/>
                <w:szCs w:val="18"/>
              </w:rPr>
              <w:t>30</w:t>
            </w:r>
            <w:r w:rsidR="007C3F07">
              <w:rPr>
                <w:rFonts w:cstheme="minorHAnsi"/>
                <w:sz w:val="18"/>
                <w:szCs w:val="18"/>
              </w:rPr>
              <w:t xml:space="preserve"> </w:t>
            </w:r>
            <w:r w:rsidRPr="00934858">
              <w:rPr>
                <w:rFonts w:cstheme="minorHAnsi"/>
                <w:sz w:val="18"/>
                <w:szCs w:val="18"/>
              </w:rPr>
              <w:t>% R-410A</w:t>
            </w:r>
          </w:p>
        </w:tc>
      </w:tr>
      <w:tr w:rsidR="00D60980" w:rsidRPr="0072532C" w:rsidTr="00F9187E">
        <w:trPr>
          <w:trHeight w:val="332"/>
        </w:trPr>
        <w:tc>
          <w:tcPr>
            <w:tcW w:w="973" w:type="pct"/>
            <w:vMerge/>
            <w:vAlign w:val="center"/>
          </w:tcPr>
          <w:p w:rsidR="00D60980" w:rsidRPr="0072532C" w:rsidRDefault="00D60980" w:rsidP="00D60980">
            <w:pPr>
              <w:spacing w:before="0"/>
              <w:jc w:val="center"/>
              <w:rPr>
                <w:sz w:val="18"/>
                <w:szCs w:val="18"/>
              </w:rPr>
            </w:pPr>
          </w:p>
        </w:tc>
        <w:tc>
          <w:tcPr>
            <w:tcW w:w="1375" w:type="pct"/>
            <w:gridSpan w:val="2"/>
            <w:vAlign w:val="center"/>
          </w:tcPr>
          <w:p w:rsidR="00D60980" w:rsidRPr="0072532C" w:rsidRDefault="00D60980" w:rsidP="00D60980">
            <w:pPr>
              <w:spacing w:before="0"/>
              <w:jc w:val="center"/>
              <w:rPr>
                <w:sz w:val="18"/>
                <w:szCs w:val="18"/>
              </w:rPr>
            </w:pPr>
            <w:r w:rsidRPr="0072532C">
              <w:rPr>
                <w:sz w:val="18"/>
                <w:szCs w:val="18"/>
              </w:rPr>
              <w:t xml:space="preserve">Splits </w:t>
            </w:r>
          </w:p>
        </w:tc>
        <w:tc>
          <w:tcPr>
            <w:tcW w:w="1297" w:type="pct"/>
            <w:vAlign w:val="center"/>
          </w:tcPr>
          <w:p w:rsidR="00D60980" w:rsidRPr="003B0DDD" w:rsidRDefault="00D60980" w:rsidP="00D60980">
            <w:pPr>
              <w:spacing w:before="0"/>
              <w:jc w:val="center"/>
              <w:rPr>
                <w:sz w:val="18"/>
                <w:szCs w:val="18"/>
              </w:rPr>
            </w:pPr>
            <w:r w:rsidRPr="003B0DDD">
              <w:rPr>
                <w:sz w:val="18"/>
                <w:szCs w:val="18"/>
              </w:rPr>
              <w:t>20 % R-407C</w:t>
            </w:r>
          </w:p>
          <w:p w:rsidR="00D60980" w:rsidRPr="003B0DDD" w:rsidRDefault="00D60980" w:rsidP="00D60980">
            <w:pPr>
              <w:spacing w:before="0"/>
              <w:jc w:val="center"/>
              <w:rPr>
                <w:sz w:val="18"/>
                <w:szCs w:val="18"/>
              </w:rPr>
            </w:pPr>
            <w:r w:rsidRPr="003B0DDD">
              <w:rPr>
                <w:sz w:val="18"/>
                <w:szCs w:val="18"/>
              </w:rPr>
              <w:t>80 % R-410A</w:t>
            </w: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75</w:t>
            </w:r>
            <w:r w:rsidR="007C3F07">
              <w:rPr>
                <w:rFonts w:cstheme="minorHAnsi"/>
                <w:sz w:val="18"/>
                <w:szCs w:val="18"/>
              </w:rPr>
              <w:t xml:space="preserve"> </w:t>
            </w:r>
            <w:r w:rsidRPr="00934858">
              <w:rPr>
                <w:rFonts w:cstheme="minorHAnsi"/>
                <w:sz w:val="18"/>
                <w:szCs w:val="18"/>
              </w:rPr>
              <w:t>% R-22</w:t>
            </w:r>
          </w:p>
          <w:p w:rsidR="00D60980" w:rsidRPr="00934858" w:rsidRDefault="00D60980" w:rsidP="00D60980">
            <w:pPr>
              <w:spacing w:before="0"/>
              <w:jc w:val="center"/>
              <w:rPr>
                <w:rFonts w:cstheme="minorHAnsi"/>
                <w:sz w:val="18"/>
                <w:szCs w:val="18"/>
              </w:rPr>
            </w:pPr>
            <w:r w:rsidRPr="00934858">
              <w:rPr>
                <w:rFonts w:cstheme="minorHAnsi"/>
                <w:sz w:val="18"/>
                <w:szCs w:val="18"/>
              </w:rPr>
              <w:t>25 % R-410A</w:t>
            </w:r>
          </w:p>
        </w:tc>
      </w:tr>
      <w:tr w:rsidR="00D60980" w:rsidRPr="0072532C" w:rsidTr="00F9187E">
        <w:trPr>
          <w:trHeight w:val="51"/>
        </w:trPr>
        <w:tc>
          <w:tcPr>
            <w:tcW w:w="973" w:type="pct"/>
            <w:vMerge/>
            <w:vAlign w:val="center"/>
          </w:tcPr>
          <w:p w:rsidR="00D60980" w:rsidRPr="0072532C" w:rsidRDefault="00D60980" w:rsidP="00D60980">
            <w:pPr>
              <w:spacing w:before="0"/>
              <w:jc w:val="center"/>
              <w:rPr>
                <w:sz w:val="18"/>
                <w:szCs w:val="18"/>
              </w:rPr>
            </w:pPr>
          </w:p>
        </w:tc>
        <w:tc>
          <w:tcPr>
            <w:tcW w:w="1375" w:type="pct"/>
            <w:gridSpan w:val="2"/>
            <w:vAlign w:val="center"/>
          </w:tcPr>
          <w:p w:rsidR="00D60980" w:rsidRPr="0072532C" w:rsidRDefault="00D60980" w:rsidP="00D60980">
            <w:pPr>
              <w:spacing w:before="0"/>
              <w:jc w:val="center"/>
              <w:rPr>
                <w:sz w:val="18"/>
                <w:szCs w:val="18"/>
              </w:rPr>
            </w:pPr>
            <w:r w:rsidRPr="0072532C">
              <w:rPr>
                <w:sz w:val="18"/>
                <w:szCs w:val="18"/>
              </w:rPr>
              <w:t>Multiplits</w:t>
            </w:r>
          </w:p>
        </w:tc>
        <w:tc>
          <w:tcPr>
            <w:tcW w:w="1297" w:type="pct"/>
            <w:vAlign w:val="center"/>
          </w:tcPr>
          <w:p w:rsidR="00D60980" w:rsidRPr="003B0DDD" w:rsidRDefault="00D60980" w:rsidP="00D60980">
            <w:pPr>
              <w:spacing w:before="0"/>
              <w:jc w:val="center"/>
              <w:rPr>
                <w:sz w:val="18"/>
                <w:szCs w:val="18"/>
              </w:rPr>
            </w:pPr>
            <w:r w:rsidRPr="003B0DDD">
              <w:rPr>
                <w:sz w:val="18"/>
                <w:szCs w:val="18"/>
              </w:rPr>
              <w:t>30 % R-407C</w:t>
            </w:r>
          </w:p>
          <w:p w:rsidR="00D60980" w:rsidRPr="003B0DDD" w:rsidRDefault="00D60980" w:rsidP="00D60980">
            <w:pPr>
              <w:spacing w:before="0"/>
              <w:jc w:val="center"/>
              <w:rPr>
                <w:sz w:val="18"/>
                <w:szCs w:val="18"/>
              </w:rPr>
            </w:pPr>
            <w:r w:rsidRPr="003B0DDD">
              <w:rPr>
                <w:sz w:val="18"/>
                <w:szCs w:val="18"/>
              </w:rPr>
              <w:t>70 % R-410A</w:t>
            </w: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50</w:t>
            </w:r>
            <w:r w:rsidR="007C3F07">
              <w:rPr>
                <w:rFonts w:cstheme="minorHAnsi"/>
                <w:sz w:val="18"/>
                <w:szCs w:val="18"/>
              </w:rPr>
              <w:t xml:space="preserve"> </w:t>
            </w:r>
            <w:r w:rsidRPr="00934858">
              <w:rPr>
                <w:rFonts w:cstheme="minorHAnsi"/>
                <w:sz w:val="18"/>
                <w:szCs w:val="18"/>
              </w:rPr>
              <w:t>% R-22</w:t>
            </w:r>
          </w:p>
          <w:p w:rsidR="00D60980" w:rsidRPr="00934858" w:rsidRDefault="00D60980" w:rsidP="00D60980">
            <w:pPr>
              <w:spacing w:before="0"/>
              <w:jc w:val="center"/>
              <w:rPr>
                <w:rFonts w:cstheme="minorHAnsi"/>
                <w:sz w:val="18"/>
                <w:szCs w:val="18"/>
              </w:rPr>
            </w:pPr>
            <w:r w:rsidRPr="00934858">
              <w:rPr>
                <w:rFonts w:cstheme="minorHAnsi"/>
                <w:sz w:val="18"/>
                <w:szCs w:val="18"/>
              </w:rPr>
              <w:t>50</w:t>
            </w:r>
            <w:r w:rsidR="007C3F07">
              <w:rPr>
                <w:rFonts w:cstheme="minorHAnsi"/>
                <w:sz w:val="18"/>
                <w:szCs w:val="18"/>
              </w:rPr>
              <w:t xml:space="preserve"> </w:t>
            </w:r>
            <w:r w:rsidRPr="00934858">
              <w:rPr>
                <w:rFonts w:cstheme="minorHAnsi"/>
                <w:sz w:val="18"/>
                <w:szCs w:val="18"/>
              </w:rPr>
              <w:t>% R-410A</w:t>
            </w:r>
          </w:p>
        </w:tc>
      </w:tr>
      <w:tr w:rsidR="00D60980" w:rsidRPr="0072532C" w:rsidTr="00F9187E">
        <w:trPr>
          <w:trHeight w:val="51"/>
        </w:trPr>
        <w:tc>
          <w:tcPr>
            <w:tcW w:w="973" w:type="pct"/>
            <w:vMerge/>
            <w:vAlign w:val="center"/>
          </w:tcPr>
          <w:p w:rsidR="00D60980" w:rsidRPr="0072532C" w:rsidRDefault="00D60980" w:rsidP="00D60980">
            <w:pPr>
              <w:spacing w:before="0"/>
              <w:jc w:val="center"/>
              <w:rPr>
                <w:sz w:val="18"/>
                <w:szCs w:val="18"/>
              </w:rPr>
            </w:pPr>
          </w:p>
        </w:tc>
        <w:tc>
          <w:tcPr>
            <w:tcW w:w="1375" w:type="pct"/>
            <w:gridSpan w:val="2"/>
            <w:vAlign w:val="center"/>
          </w:tcPr>
          <w:p w:rsidR="00D60980" w:rsidRPr="0072532C" w:rsidRDefault="00D60980" w:rsidP="00D60980">
            <w:pPr>
              <w:spacing w:before="0"/>
              <w:jc w:val="center"/>
              <w:rPr>
                <w:sz w:val="18"/>
                <w:szCs w:val="18"/>
              </w:rPr>
            </w:pPr>
            <w:r w:rsidRPr="0072532C">
              <w:rPr>
                <w:sz w:val="18"/>
                <w:szCs w:val="18"/>
              </w:rPr>
              <w:t>Window</w:t>
            </w:r>
            <w:r w:rsidR="007C3F07">
              <w:rPr>
                <w:sz w:val="18"/>
                <w:szCs w:val="18"/>
              </w:rPr>
              <w:t>s</w:t>
            </w:r>
          </w:p>
        </w:tc>
        <w:tc>
          <w:tcPr>
            <w:tcW w:w="1297" w:type="pct"/>
            <w:vAlign w:val="center"/>
          </w:tcPr>
          <w:p w:rsidR="00D60980" w:rsidRPr="003B0DDD" w:rsidRDefault="00D60980" w:rsidP="00D60980">
            <w:pPr>
              <w:spacing w:before="0"/>
              <w:jc w:val="center"/>
              <w:rPr>
                <w:sz w:val="18"/>
                <w:szCs w:val="18"/>
              </w:rPr>
            </w:pPr>
            <w:r w:rsidRPr="003B0DDD">
              <w:rPr>
                <w:sz w:val="18"/>
                <w:szCs w:val="18"/>
              </w:rPr>
              <w:t>100 % R-410A</w:t>
            </w: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60</w:t>
            </w:r>
            <w:r w:rsidR="007C3F07">
              <w:rPr>
                <w:rFonts w:cstheme="minorHAnsi"/>
                <w:sz w:val="18"/>
                <w:szCs w:val="18"/>
              </w:rPr>
              <w:t xml:space="preserve"> </w:t>
            </w:r>
            <w:r w:rsidRPr="00934858">
              <w:rPr>
                <w:rFonts w:cstheme="minorHAnsi"/>
                <w:sz w:val="18"/>
                <w:szCs w:val="18"/>
              </w:rPr>
              <w:t>% R-22</w:t>
            </w:r>
          </w:p>
          <w:p w:rsidR="00D60980" w:rsidRPr="00934858" w:rsidRDefault="00D60980" w:rsidP="00D60980">
            <w:pPr>
              <w:spacing w:before="0"/>
              <w:jc w:val="center"/>
              <w:rPr>
                <w:rFonts w:cstheme="minorHAnsi"/>
                <w:sz w:val="18"/>
                <w:szCs w:val="18"/>
              </w:rPr>
            </w:pPr>
            <w:r w:rsidRPr="00934858">
              <w:rPr>
                <w:rFonts w:cstheme="minorHAnsi"/>
                <w:sz w:val="18"/>
                <w:szCs w:val="18"/>
              </w:rPr>
              <w:t>40</w:t>
            </w:r>
            <w:r w:rsidR="007C3F07">
              <w:rPr>
                <w:rFonts w:cstheme="minorHAnsi"/>
                <w:sz w:val="18"/>
                <w:szCs w:val="18"/>
              </w:rPr>
              <w:t xml:space="preserve"> </w:t>
            </w:r>
            <w:r w:rsidRPr="00934858">
              <w:rPr>
                <w:rFonts w:cstheme="minorHAnsi"/>
                <w:sz w:val="18"/>
                <w:szCs w:val="18"/>
              </w:rPr>
              <w:t>% R-410A</w:t>
            </w:r>
          </w:p>
        </w:tc>
      </w:tr>
      <w:tr w:rsidR="00D60980" w:rsidRPr="0072532C" w:rsidTr="00F9187E">
        <w:trPr>
          <w:trHeight w:val="51"/>
        </w:trPr>
        <w:tc>
          <w:tcPr>
            <w:tcW w:w="973" w:type="pct"/>
            <w:vMerge/>
            <w:vAlign w:val="center"/>
          </w:tcPr>
          <w:p w:rsidR="00D60980" w:rsidRPr="0072532C" w:rsidRDefault="00D60980" w:rsidP="00D60980">
            <w:pPr>
              <w:spacing w:before="0"/>
              <w:jc w:val="center"/>
              <w:rPr>
                <w:sz w:val="18"/>
                <w:szCs w:val="18"/>
              </w:rPr>
            </w:pPr>
          </w:p>
        </w:tc>
        <w:tc>
          <w:tcPr>
            <w:tcW w:w="1375" w:type="pct"/>
            <w:gridSpan w:val="2"/>
            <w:vAlign w:val="center"/>
          </w:tcPr>
          <w:p w:rsidR="00D60980" w:rsidRPr="0072532C" w:rsidRDefault="00D60980" w:rsidP="00D60980">
            <w:pPr>
              <w:spacing w:before="0"/>
              <w:jc w:val="center"/>
              <w:rPr>
                <w:sz w:val="18"/>
                <w:szCs w:val="18"/>
              </w:rPr>
            </w:pPr>
            <w:r w:rsidRPr="0072532C">
              <w:rPr>
                <w:sz w:val="18"/>
                <w:szCs w:val="18"/>
              </w:rPr>
              <w:t>Central AC</w:t>
            </w:r>
          </w:p>
        </w:tc>
        <w:tc>
          <w:tcPr>
            <w:tcW w:w="1297" w:type="pct"/>
            <w:vAlign w:val="center"/>
          </w:tcPr>
          <w:p w:rsidR="00D60980" w:rsidRPr="003B0DDD" w:rsidRDefault="00D60980" w:rsidP="00D60980">
            <w:pPr>
              <w:spacing w:before="0"/>
              <w:jc w:val="center"/>
              <w:rPr>
                <w:sz w:val="18"/>
                <w:szCs w:val="18"/>
              </w:rPr>
            </w:pPr>
            <w:r w:rsidRPr="003B0DDD">
              <w:rPr>
                <w:sz w:val="18"/>
                <w:szCs w:val="18"/>
              </w:rPr>
              <w:t>20 % R-134a</w:t>
            </w:r>
          </w:p>
          <w:p w:rsidR="00D60980" w:rsidRPr="003B0DDD" w:rsidRDefault="00D60980" w:rsidP="00D60980">
            <w:pPr>
              <w:spacing w:before="0"/>
              <w:jc w:val="center"/>
              <w:rPr>
                <w:sz w:val="18"/>
                <w:szCs w:val="18"/>
              </w:rPr>
            </w:pPr>
            <w:r w:rsidRPr="003B0DDD">
              <w:rPr>
                <w:sz w:val="18"/>
                <w:szCs w:val="18"/>
              </w:rPr>
              <w:t>80 % R-410A</w:t>
            </w: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75</w:t>
            </w:r>
            <w:r w:rsidR="007C3F07">
              <w:rPr>
                <w:rFonts w:cstheme="minorHAnsi"/>
                <w:sz w:val="18"/>
                <w:szCs w:val="18"/>
              </w:rPr>
              <w:t xml:space="preserve"> </w:t>
            </w:r>
            <w:r w:rsidRPr="00934858">
              <w:rPr>
                <w:rFonts w:cstheme="minorHAnsi"/>
                <w:sz w:val="18"/>
                <w:szCs w:val="18"/>
              </w:rPr>
              <w:t>% R-22</w:t>
            </w:r>
          </w:p>
          <w:p w:rsidR="00D60980" w:rsidRPr="00934858" w:rsidRDefault="00D60980" w:rsidP="00D60980">
            <w:pPr>
              <w:spacing w:before="0"/>
              <w:jc w:val="center"/>
              <w:rPr>
                <w:rFonts w:cstheme="minorHAnsi"/>
                <w:sz w:val="18"/>
                <w:szCs w:val="18"/>
              </w:rPr>
            </w:pPr>
            <w:r w:rsidRPr="00934858">
              <w:rPr>
                <w:rFonts w:cstheme="minorHAnsi"/>
                <w:sz w:val="18"/>
                <w:szCs w:val="18"/>
              </w:rPr>
              <w:t>25</w:t>
            </w:r>
            <w:r w:rsidR="007C3F07">
              <w:rPr>
                <w:rFonts w:cstheme="minorHAnsi"/>
                <w:sz w:val="18"/>
                <w:szCs w:val="18"/>
              </w:rPr>
              <w:t xml:space="preserve"> </w:t>
            </w:r>
            <w:r w:rsidRPr="00934858">
              <w:rPr>
                <w:rFonts w:cstheme="minorHAnsi"/>
                <w:sz w:val="18"/>
                <w:szCs w:val="18"/>
              </w:rPr>
              <w:t>% R-410A</w:t>
            </w:r>
          </w:p>
        </w:tc>
      </w:tr>
      <w:tr w:rsidR="00D60980" w:rsidRPr="0072532C" w:rsidTr="00F9187E">
        <w:trPr>
          <w:trHeight w:val="504"/>
        </w:trPr>
        <w:tc>
          <w:tcPr>
            <w:tcW w:w="973" w:type="pct"/>
            <w:vMerge w:val="restart"/>
            <w:vAlign w:val="center"/>
          </w:tcPr>
          <w:p w:rsidR="00D60980" w:rsidRPr="00795158" w:rsidRDefault="00D60980" w:rsidP="00D60980">
            <w:pPr>
              <w:spacing w:before="0"/>
              <w:jc w:val="center"/>
              <w:rPr>
                <w:b/>
                <w:sz w:val="18"/>
                <w:szCs w:val="18"/>
                <w:lang w:val="fr-FR"/>
              </w:rPr>
            </w:pPr>
            <w:r w:rsidRPr="00795158">
              <w:rPr>
                <w:b/>
                <w:sz w:val="18"/>
                <w:szCs w:val="18"/>
                <w:lang w:val="fr-FR"/>
              </w:rPr>
              <w:t>GRE (Groupes Refroidisseurs d’Eau) Volumétriques</w:t>
            </w:r>
          </w:p>
        </w:tc>
        <w:tc>
          <w:tcPr>
            <w:tcW w:w="1375" w:type="pct"/>
            <w:gridSpan w:val="2"/>
            <w:vAlign w:val="center"/>
          </w:tcPr>
          <w:p w:rsidR="00D60980" w:rsidRPr="0072532C" w:rsidRDefault="00D60980" w:rsidP="00D60980">
            <w:pPr>
              <w:spacing w:before="0"/>
              <w:jc w:val="center"/>
              <w:rPr>
                <w:sz w:val="18"/>
                <w:szCs w:val="18"/>
              </w:rPr>
            </w:pPr>
            <w:r>
              <w:rPr>
                <w:sz w:val="18"/>
                <w:szCs w:val="18"/>
              </w:rPr>
              <w:t>Faibles Puissances</w:t>
            </w:r>
          </w:p>
        </w:tc>
        <w:tc>
          <w:tcPr>
            <w:tcW w:w="1297" w:type="pct"/>
            <w:vAlign w:val="center"/>
          </w:tcPr>
          <w:p w:rsidR="00D60980" w:rsidRPr="003B0DDD" w:rsidRDefault="00D60980" w:rsidP="00D60980">
            <w:pPr>
              <w:spacing w:before="0"/>
              <w:jc w:val="center"/>
              <w:rPr>
                <w:sz w:val="18"/>
                <w:szCs w:val="18"/>
              </w:rPr>
            </w:pPr>
            <w:r w:rsidRPr="003B0DDD">
              <w:rPr>
                <w:sz w:val="18"/>
                <w:szCs w:val="18"/>
              </w:rPr>
              <w:t>68 % R-410A</w:t>
            </w:r>
          </w:p>
          <w:p w:rsidR="00D60980" w:rsidRPr="003B0DDD" w:rsidRDefault="00D60980" w:rsidP="00D60980">
            <w:pPr>
              <w:spacing w:before="0"/>
              <w:jc w:val="center"/>
              <w:rPr>
                <w:sz w:val="18"/>
                <w:szCs w:val="18"/>
              </w:rPr>
            </w:pPr>
            <w:r w:rsidRPr="003B0DDD">
              <w:rPr>
                <w:sz w:val="18"/>
                <w:szCs w:val="18"/>
              </w:rPr>
              <w:t>32 % R-407C</w:t>
            </w:r>
          </w:p>
        </w:tc>
        <w:tc>
          <w:tcPr>
            <w:tcW w:w="1355" w:type="pct"/>
            <w:vAlign w:val="center"/>
          </w:tcPr>
          <w:p w:rsidR="00D60980" w:rsidRPr="00934858" w:rsidRDefault="00D60980" w:rsidP="00D60980">
            <w:pPr>
              <w:spacing w:before="0"/>
              <w:jc w:val="center"/>
              <w:rPr>
                <w:rFonts w:cstheme="minorHAnsi"/>
                <w:color w:val="000000" w:themeColor="text1"/>
                <w:sz w:val="18"/>
                <w:szCs w:val="18"/>
              </w:rPr>
            </w:pPr>
            <w:r w:rsidRPr="00934858">
              <w:rPr>
                <w:rFonts w:cstheme="minorHAnsi"/>
                <w:color w:val="000000" w:themeColor="text1"/>
                <w:sz w:val="18"/>
                <w:szCs w:val="18"/>
              </w:rPr>
              <w:t>30 % R-407C</w:t>
            </w:r>
          </w:p>
          <w:p w:rsidR="00D60980" w:rsidRPr="00934858" w:rsidRDefault="00D60980" w:rsidP="00D60980">
            <w:pPr>
              <w:spacing w:before="0"/>
              <w:jc w:val="center"/>
              <w:rPr>
                <w:rFonts w:cstheme="minorHAnsi"/>
                <w:color w:val="000000" w:themeColor="text1"/>
                <w:sz w:val="18"/>
                <w:szCs w:val="18"/>
              </w:rPr>
            </w:pPr>
            <w:r w:rsidRPr="00934858">
              <w:rPr>
                <w:rFonts w:cstheme="minorHAnsi"/>
                <w:color w:val="000000" w:themeColor="text1"/>
                <w:sz w:val="18"/>
                <w:szCs w:val="18"/>
              </w:rPr>
              <w:t>50 % R-22</w:t>
            </w:r>
          </w:p>
          <w:p w:rsidR="00D60980" w:rsidRPr="00B8499B" w:rsidRDefault="00D60980" w:rsidP="00D60980">
            <w:pPr>
              <w:spacing w:before="0"/>
              <w:jc w:val="center"/>
              <w:rPr>
                <w:rFonts w:cstheme="minorHAnsi"/>
                <w:sz w:val="18"/>
                <w:szCs w:val="18"/>
              </w:rPr>
            </w:pPr>
            <w:r w:rsidRPr="00934858">
              <w:rPr>
                <w:rFonts w:cstheme="minorHAnsi"/>
                <w:color w:val="000000" w:themeColor="text1"/>
                <w:sz w:val="18"/>
                <w:szCs w:val="18"/>
              </w:rPr>
              <w:t>20 % R-410A</w:t>
            </w:r>
          </w:p>
        </w:tc>
      </w:tr>
      <w:tr w:rsidR="00D60980" w:rsidRPr="0072532C" w:rsidTr="00F9187E">
        <w:trPr>
          <w:trHeight w:val="424"/>
        </w:trPr>
        <w:tc>
          <w:tcPr>
            <w:tcW w:w="973" w:type="pct"/>
            <w:vMerge/>
            <w:vAlign w:val="center"/>
          </w:tcPr>
          <w:p w:rsidR="00D60980" w:rsidRPr="0072532C" w:rsidRDefault="00D60980" w:rsidP="00D60980">
            <w:pPr>
              <w:spacing w:before="0"/>
              <w:jc w:val="center"/>
              <w:rPr>
                <w:b/>
                <w:sz w:val="18"/>
                <w:szCs w:val="18"/>
              </w:rPr>
            </w:pPr>
          </w:p>
        </w:tc>
        <w:tc>
          <w:tcPr>
            <w:tcW w:w="1375" w:type="pct"/>
            <w:gridSpan w:val="2"/>
            <w:vAlign w:val="center"/>
          </w:tcPr>
          <w:p w:rsidR="00D60980" w:rsidRPr="004337E8" w:rsidRDefault="00D60980" w:rsidP="00D60980">
            <w:pPr>
              <w:spacing w:before="0"/>
              <w:jc w:val="center"/>
              <w:rPr>
                <w:sz w:val="18"/>
                <w:szCs w:val="18"/>
              </w:rPr>
            </w:pPr>
            <w:r>
              <w:rPr>
                <w:sz w:val="18"/>
                <w:szCs w:val="18"/>
              </w:rPr>
              <w:t>Moyennes</w:t>
            </w:r>
            <w:r w:rsidRPr="004337E8">
              <w:rPr>
                <w:sz w:val="18"/>
                <w:szCs w:val="18"/>
              </w:rPr>
              <w:t xml:space="preserve"> Puiss</w:t>
            </w:r>
            <w:r>
              <w:rPr>
                <w:sz w:val="18"/>
                <w:szCs w:val="18"/>
              </w:rPr>
              <w:t>ances</w:t>
            </w:r>
          </w:p>
        </w:tc>
        <w:tc>
          <w:tcPr>
            <w:tcW w:w="1297" w:type="pct"/>
            <w:vAlign w:val="center"/>
          </w:tcPr>
          <w:p w:rsidR="00D60980" w:rsidRPr="00AC0B45" w:rsidRDefault="00D60980" w:rsidP="00D60980">
            <w:pPr>
              <w:spacing w:before="0"/>
              <w:jc w:val="center"/>
              <w:rPr>
                <w:color w:val="000000" w:themeColor="text1"/>
                <w:sz w:val="18"/>
                <w:szCs w:val="18"/>
              </w:rPr>
            </w:pPr>
            <w:r w:rsidRPr="00AC0B45">
              <w:rPr>
                <w:color w:val="000000" w:themeColor="text1"/>
                <w:sz w:val="18"/>
                <w:szCs w:val="18"/>
              </w:rPr>
              <w:t>48 % R-407C</w:t>
            </w:r>
          </w:p>
          <w:p w:rsidR="00D60980" w:rsidRPr="00AC0B45" w:rsidRDefault="00D60980" w:rsidP="00D60980">
            <w:pPr>
              <w:spacing w:before="0"/>
              <w:jc w:val="center"/>
              <w:rPr>
                <w:color w:val="000000" w:themeColor="text1"/>
                <w:sz w:val="18"/>
                <w:szCs w:val="18"/>
              </w:rPr>
            </w:pPr>
            <w:r w:rsidRPr="00AC0B45">
              <w:rPr>
                <w:color w:val="000000" w:themeColor="text1"/>
                <w:sz w:val="18"/>
                <w:szCs w:val="18"/>
              </w:rPr>
              <w:t>50 % R-410A</w:t>
            </w:r>
          </w:p>
          <w:p w:rsidR="00D60980" w:rsidRPr="00AC0B45" w:rsidRDefault="00D60980" w:rsidP="00D60980">
            <w:pPr>
              <w:spacing w:before="0"/>
              <w:jc w:val="center"/>
              <w:rPr>
                <w:color w:val="000000" w:themeColor="text1"/>
                <w:sz w:val="18"/>
                <w:szCs w:val="18"/>
                <w:highlight w:val="yellow"/>
              </w:rPr>
            </w:pPr>
            <w:r w:rsidRPr="00AC0B45">
              <w:rPr>
                <w:color w:val="000000" w:themeColor="text1"/>
                <w:sz w:val="18"/>
                <w:szCs w:val="18"/>
              </w:rPr>
              <w:t>2 % R-717</w:t>
            </w:r>
          </w:p>
        </w:tc>
        <w:tc>
          <w:tcPr>
            <w:tcW w:w="1355" w:type="pct"/>
            <w:vAlign w:val="center"/>
          </w:tcPr>
          <w:p w:rsidR="00D60980" w:rsidRPr="00934858" w:rsidRDefault="00D60980" w:rsidP="00D60980">
            <w:pPr>
              <w:spacing w:before="0"/>
              <w:jc w:val="center"/>
              <w:rPr>
                <w:rFonts w:cstheme="minorHAnsi"/>
                <w:color w:val="000000" w:themeColor="text1"/>
                <w:sz w:val="18"/>
                <w:szCs w:val="18"/>
              </w:rPr>
            </w:pPr>
            <w:r w:rsidRPr="00934858">
              <w:rPr>
                <w:rFonts w:cstheme="minorHAnsi"/>
                <w:color w:val="000000" w:themeColor="text1"/>
                <w:sz w:val="18"/>
                <w:szCs w:val="18"/>
              </w:rPr>
              <w:t>70</w:t>
            </w:r>
            <w:r w:rsidR="007C3F07">
              <w:rPr>
                <w:rFonts w:cstheme="minorHAnsi"/>
                <w:color w:val="000000" w:themeColor="text1"/>
                <w:sz w:val="18"/>
                <w:szCs w:val="18"/>
              </w:rPr>
              <w:t xml:space="preserve"> </w:t>
            </w:r>
            <w:r w:rsidRPr="00934858">
              <w:rPr>
                <w:rFonts w:cstheme="minorHAnsi"/>
                <w:color w:val="000000" w:themeColor="text1"/>
                <w:sz w:val="18"/>
                <w:szCs w:val="18"/>
              </w:rPr>
              <w:t>% R-22</w:t>
            </w:r>
          </w:p>
          <w:p w:rsidR="00D60980" w:rsidRPr="00AC2E81" w:rsidRDefault="00D60980" w:rsidP="00D60980">
            <w:pPr>
              <w:spacing w:before="0"/>
              <w:jc w:val="center"/>
              <w:rPr>
                <w:rFonts w:cstheme="minorHAnsi"/>
                <w:color w:val="FF0000"/>
                <w:sz w:val="18"/>
                <w:szCs w:val="18"/>
              </w:rPr>
            </w:pPr>
            <w:r w:rsidRPr="00934858">
              <w:rPr>
                <w:rFonts w:cstheme="minorHAnsi"/>
                <w:color w:val="000000" w:themeColor="text1"/>
                <w:sz w:val="18"/>
                <w:szCs w:val="18"/>
              </w:rPr>
              <w:t>30 % R-410A</w:t>
            </w:r>
          </w:p>
        </w:tc>
      </w:tr>
      <w:tr w:rsidR="00D60980" w:rsidRPr="0072532C" w:rsidTr="00F9187E">
        <w:trPr>
          <w:trHeight w:val="233"/>
        </w:trPr>
        <w:tc>
          <w:tcPr>
            <w:tcW w:w="973" w:type="pct"/>
            <w:vMerge w:val="restart"/>
            <w:vAlign w:val="center"/>
          </w:tcPr>
          <w:p w:rsidR="00D60980" w:rsidRPr="0072532C" w:rsidRDefault="00D60980" w:rsidP="00D60980">
            <w:pPr>
              <w:spacing w:before="0"/>
              <w:jc w:val="center"/>
              <w:rPr>
                <w:b/>
                <w:sz w:val="18"/>
                <w:szCs w:val="18"/>
              </w:rPr>
            </w:pPr>
            <w:r w:rsidRPr="0072532C">
              <w:rPr>
                <w:b/>
                <w:sz w:val="18"/>
                <w:szCs w:val="18"/>
              </w:rPr>
              <w:t>Climatisation embarquée</w:t>
            </w:r>
          </w:p>
        </w:tc>
        <w:tc>
          <w:tcPr>
            <w:tcW w:w="1375" w:type="pct"/>
            <w:gridSpan w:val="2"/>
            <w:vAlign w:val="center"/>
          </w:tcPr>
          <w:p w:rsidR="00D60980" w:rsidRPr="0072532C" w:rsidRDefault="00D60980" w:rsidP="00D60980">
            <w:pPr>
              <w:spacing w:before="0"/>
              <w:jc w:val="center"/>
              <w:rPr>
                <w:sz w:val="18"/>
                <w:szCs w:val="18"/>
              </w:rPr>
            </w:pPr>
            <w:r w:rsidRPr="0072532C">
              <w:rPr>
                <w:sz w:val="18"/>
                <w:szCs w:val="18"/>
              </w:rPr>
              <w:t>Automobile</w:t>
            </w:r>
          </w:p>
        </w:tc>
        <w:tc>
          <w:tcPr>
            <w:tcW w:w="1297" w:type="pct"/>
            <w:vAlign w:val="center"/>
          </w:tcPr>
          <w:p w:rsidR="00D60980" w:rsidRPr="00AC0B45" w:rsidRDefault="00D60980" w:rsidP="00D60980">
            <w:pPr>
              <w:spacing w:before="0"/>
              <w:jc w:val="center"/>
              <w:rPr>
                <w:sz w:val="18"/>
                <w:szCs w:val="18"/>
              </w:rPr>
            </w:pPr>
            <w:r w:rsidRPr="00AC0B45">
              <w:rPr>
                <w:sz w:val="18"/>
                <w:szCs w:val="18"/>
              </w:rPr>
              <w:t>100 % R-134a</w:t>
            </w: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100</w:t>
            </w:r>
            <w:r w:rsidR="007C3F07">
              <w:rPr>
                <w:rFonts w:cstheme="minorHAnsi"/>
                <w:sz w:val="18"/>
                <w:szCs w:val="18"/>
              </w:rPr>
              <w:t xml:space="preserve"> </w:t>
            </w:r>
            <w:r w:rsidRPr="00934858">
              <w:rPr>
                <w:rFonts w:cstheme="minorHAnsi"/>
                <w:sz w:val="18"/>
                <w:szCs w:val="18"/>
              </w:rPr>
              <w:t>% R-134a</w:t>
            </w:r>
          </w:p>
        </w:tc>
      </w:tr>
      <w:tr w:rsidR="00D60980" w:rsidRPr="0072532C" w:rsidTr="00F9187E">
        <w:trPr>
          <w:trHeight w:val="232"/>
        </w:trPr>
        <w:tc>
          <w:tcPr>
            <w:tcW w:w="973" w:type="pct"/>
            <w:vMerge/>
            <w:vAlign w:val="center"/>
          </w:tcPr>
          <w:p w:rsidR="00D60980" w:rsidRPr="0072532C" w:rsidRDefault="00D60980" w:rsidP="00D60980">
            <w:pPr>
              <w:spacing w:before="0"/>
              <w:jc w:val="center"/>
              <w:rPr>
                <w:sz w:val="18"/>
                <w:szCs w:val="18"/>
              </w:rPr>
            </w:pPr>
          </w:p>
        </w:tc>
        <w:tc>
          <w:tcPr>
            <w:tcW w:w="1375" w:type="pct"/>
            <w:gridSpan w:val="2"/>
            <w:vAlign w:val="center"/>
          </w:tcPr>
          <w:p w:rsidR="00D60980" w:rsidRPr="0072532C" w:rsidRDefault="00D60980" w:rsidP="00D60980">
            <w:pPr>
              <w:spacing w:before="0"/>
              <w:jc w:val="center"/>
              <w:rPr>
                <w:sz w:val="18"/>
                <w:szCs w:val="18"/>
              </w:rPr>
            </w:pPr>
            <w:r w:rsidRPr="0072532C">
              <w:rPr>
                <w:sz w:val="18"/>
                <w:szCs w:val="18"/>
              </w:rPr>
              <w:t>Bus et cars</w:t>
            </w:r>
          </w:p>
        </w:tc>
        <w:tc>
          <w:tcPr>
            <w:tcW w:w="1297" w:type="pct"/>
            <w:vAlign w:val="center"/>
          </w:tcPr>
          <w:p w:rsidR="00D60980" w:rsidRPr="00AC0B45" w:rsidRDefault="007C3F07" w:rsidP="00D60980">
            <w:pPr>
              <w:spacing w:before="0"/>
              <w:jc w:val="center"/>
              <w:rPr>
                <w:sz w:val="18"/>
                <w:szCs w:val="18"/>
              </w:rPr>
            </w:pPr>
            <w:r>
              <w:rPr>
                <w:sz w:val="18"/>
                <w:szCs w:val="18"/>
              </w:rPr>
              <w:t>100 %</w:t>
            </w:r>
            <w:r w:rsidR="00D60980" w:rsidRPr="00AC0B45">
              <w:rPr>
                <w:sz w:val="18"/>
                <w:szCs w:val="18"/>
              </w:rPr>
              <w:t xml:space="preserve"> R-134a</w:t>
            </w:r>
          </w:p>
          <w:p w:rsidR="00D60980" w:rsidRPr="00AC0B45" w:rsidRDefault="00D60980" w:rsidP="00D60980">
            <w:pPr>
              <w:spacing w:before="0"/>
              <w:jc w:val="center"/>
              <w:rPr>
                <w:sz w:val="18"/>
                <w:szCs w:val="18"/>
              </w:rPr>
            </w:pPr>
          </w:p>
        </w:tc>
        <w:tc>
          <w:tcPr>
            <w:tcW w:w="1355" w:type="pct"/>
            <w:vAlign w:val="center"/>
          </w:tcPr>
          <w:p w:rsidR="00D60980" w:rsidRPr="00934858" w:rsidRDefault="00D60980" w:rsidP="00D60980">
            <w:pPr>
              <w:spacing w:before="0"/>
              <w:jc w:val="center"/>
              <w:rPr>
                <w:rFonts w:cstheme="minorHAnsi"/>
                <w:sz w:val="18"/>
                <w:szCs w:val="18"/>
              </w:rPr>
            </w:pPr>
            <w:r w:rsidRPr="00934858">
              <w:rPr>
                <w:rFonts w:cstheme="minorHAnsi"/>
                <w:sz w:val="18"/>
                <w:szCs w:val="18"/>
              </w:rPr>
              <w:t>60</w:t>
            </w:r>
            <w:r w:rsidR="007C3F07">
              <w:rPr>
                <w:rFonts w:cstheme="minorHAnsi"/>
                <w:sz w:val="18"/>
                <w:szCs w:val="18"/>
              </w:rPr>
              <w:t xml:space="preserve"> </w:t>
            </w:r>
            <w:r w:rsidRPr="00934858">
              <w:rPr>
                <w:rFonts w:cstheme="minorHAnsi"/>
                <w:sz w:val="18"/>
                <w:szCs w:val="18"/>
              </w:rPr>
              <w:t>% R-22</w:t>
            </w:r>
          </w:p>
          <w:p w:rsidR="00D60980" w:rsidRPr="00934858" w:rsidRDefault="00D60980" w:rsidP="00D60980">
            <w:pPr>
              <w:spacing w:before="0"/>
              <w:jc w:val="center"/>
              <w:rPr>
                <w:rFonts w:cstheme="minorHAnsi"/>
                <w:sz w:val="18"/>
                <w:szCs w:val="18"/>
              </w:rPr>
            </w:pPr>
            <w:r w:rsidRPr="00934858">
              <w:rPr>
                <w:rFonts w:cstheme="minorHAnsi"/>
                <w:sz w:val="18"/>
                <w:szCs w:val="18"/>
              </w:rPr>
              <w:t>40</w:t>
            </w:r>
            <w:r w:rsidR="007C3F07">
              <w:rPr>
                <w:rFonts w:cstheme="minorHAnsi"/>
                <w:sz w:val="18"/>
                <w:szCs w:val="18"/>
              </w:rPr>
              <w:t xml:space="preserve"> </w:t>
            </w:r>
            <w:r w:rsidRPr="00934858">
              <w:rPr>
                <w:rFonts w:cstheme="minorHAnsi"/>
                <w:sz w:val="18"/>
                <w:szCs w:val="18"/>
              </w:rPr>
              <w:t>% R-134a</w:t>
            </w:r>
          </w:p>
        </w:tc>
      </w:tr>
      <w:tr w:rsidR="00D60980" w:rsidRPr="0072532C" w:rsidTr="00F9187E">
        <w:trPr>
          <w:trHeight w:val="232"/>
        </w:trPr>
        <w:tc>
          <w:tcPr>
            <w:tcW w:w="973" w:type="pct"/>
            <w:vMerge/>
            <w:vAlign w:val="center"/>
          </w:tcPr>
          <w:p w:rsidR="00D60980" w:rsidRPr="0072532C" w:rsidRDefault="00D60980" w:rsidP="00D60980">
            <w:pPr>
              <w:spacing w:before="0"/>
              <w:jc w:val="center"/>
              <w:rPr>
                <w:sz w:val="18"/>
                <w:szCs w:val="18"/>
              </w:rPr>
            </w:pPr>
          </w:p>
        </w:tc>
        <w:tc>
          <w:tcPr>
            <w:tcW w:w="1375" w:type="pct"/>
            <w:gridSpan w:val="2"/>
            <w:vAlign w:val="center"/>
          </w:tcPr>
          <w:p w:rsidR="00D60980" w:rsidRPr="0072532C" w:rsidRDefault="00D60980" w:rsidP="00D60980">
            <w:pPr>
              <w:spacing w:before="0"/>
              <w:jc w:val="center"/>
              <w:rPr>
                <w:sz w:val="18"/>
                <w:szCs w:val="18"/>
              </w:rPr>
            </w:pPr>
            <w:r w:rsidRPr="0072532C">
              <w:rPr>
                <w:sz w:val="18"/>
                <w:szCs w:val="18"/>
              </w:rPr>
              <w:t>Véhicules industriels</w:t>
            </w:r>
          </w:p>
        </w:tc>
        <w:tc>
          <w:tcPr>
            <w:tcW w:w="1297" w:type="pct"/>
            <w:vAlign w:val="center"/>
          </w:tcPr>
          <w:p w:rsidR="00D60980" w:rsidRPr="00AC0B45" w:rsidRDefault="00D60980" w:rsidP="00D60980">
            <w:pPr>
              <w:spacing w:before="0"/>
              <w:jc w:val="center"/>
              <w:rPr>
                <w:sz w:val="18"/>
                <w:szCs w:val="18"/>
              </w:rPr>
            </w:pPr>
            <w:r w:rsidRPr="00AC0B45">
              <w:rPr>
                <w:sz w:val="18"/>
                <w:szCs w:val="18"/>
              </w:rPr>
              <w:t>100 % R-134a</w:t>
            </w:r>
          </w:p>
        </w:tc>
        <w:tc>
          <w:tcPr>
            <w:tcW w:w="1355" w:type="pct"/>
            <w:vAlign w:val="center"/>
          </w:tcPr>
          <w:p w:rsidR="00D60980" w:rsidRPr="00934858" w:rsidRDefault="00D60980" w:rsidP="00D60980">
            <w:pPr>
              <w:spacing w:before="0"/>
              <w:jc w:val="center"/>
              <w:rPr>
                <w:sz w:val="18"/>
                <w:szCs w:val="18"/>
              </w:rPr>
            </w:pPr>
            <w:r w:rsidRPr="00934858">
              <w:rPr>
                <w:sz w:val="18"/>
                <w:szCs w:val="18"/>
              </w:rPr>
              <w:t>100 % R-134a</w:t>
            </w:r>
          </w:p>
        </w:tc>
      </w:tr>
    </w:tbl>
    <w:p w:rsidR="00F83583" w:rsidRDefault="00F83583" w:rsidP="00853480">
      <w:pPr>
        <w:jc w:val="both"/>
        <w:rPr>
          <w:lang w:val="fr-FR"/>
        </w:rPr>
      </w:pPr>
    </w:p>
    <w:p w:rsidR="00F83583" w:rsidRDefault="00F83583">
      <w:pPr>
        <w:rPr>
          <w:lang w:val="fr-FR"/>
        </w:rPr>
      </w:pPr>
      <w:r>
        <w:rPr>
          <w:lang w:val="fr-FR"/>
        </w:rPr>
        <w:br w:type="page"/>
      </w:r>
    </w:p>
    <w:p w:rsidR="00F83583" w:rsidRDefault="00F83583" w:rsidP="00853480">
      <w:pPr>
        <w:jc w:val="both"/>
        <w:rPr>
          <w:lang w:val="fr-FR"/>
        </w:rPr>
      </w:pPr>
      <w:r>
        <w:rPr>
          <w:lang w:val="fr-FR"/>
        </w:rPr>
        <w:lastRenderedPageBreak/>
        <w:t xml:space="preserve">Les courbes d’évolution des </w:t>
      </w:r>
      <w:r w:rsidR="00F9187E">
        <w:rPr>
          <w:lang w:val="fr-FR"/>
        </w:rPr>
        <w:t>efficacités de récupération</w:t>
      </w:r>
      <w:r>
        <w:rPr>
          <w:lang w:val="fr-FR"/>
        </w:rPr>
        <w:t xml:space="preserve"> ont également été établies en fonction des courbes utilisées pour la métropole</w:t>
      </w:r>
      <w:r w:rsidR="00F9187E">
        <w:rPr>
          <w:lang w:val="fr-FR"/>
        </w:rPr>
        <w:t>, avec un décalage moyen de l’ordre de 10 ans</w:t>
      </w:r>
      <w:r w:rsidR="00B94A7B">
        <w:rPr>
          <w:lang w:val="fr-FR"/>
        </w:rPr>
        <w:t xml:space="preserve"> pour le groupe 1 et de 20 ans </w:t>
      </w:r>
      <w:r>
        <w:rPr>
          <w:lang w:val="fr-FR"/>
        </w:rPr>
        <w:t>pour le groupe 2</w:t>
      </w:r>
      <w:r w:rsidR="008203B6">
        <w:rPr>
          <w:lang w:val="fr-FR"/>
        </w:rPr>
        <w:t>, ce qui donne une efficacité encore nulle ou très faible pour tous les secteurs</w:t>
      </w:r>
      <w:r>
        <w:rPr>
          <w:lang w:val="fr-FR"/>
        </w:rPr>
        <w:t>.</w:t>
      </w:r>
      <w:r w:rsidR="00B94A7B">
        <w:rPr>
          <w:lang w:val="fr-FR"/>
        </w:rPr>
        <w:t xml:space="preserve"> </w:t>
      </w:r>
      <w:r w:rsidR="00B94A7B" w:rsidRPr="00327A01">
        <w:rPr>
          <w:lang w:val="fr-FR"/>
        </w:rPr>
        <w:t xml:space="preserve">Les taux d’émissions sont </w:t>
      </w:r>
      <w:r w:rsidR="00327A01" w:rsidRPr="00327A01">
        <w:rPr>
          <w:lang w:val="fr-FR"/>
        </w:rPr>
        <w:t xml:space="preserve">considérés comme </w:t>
      </w:r>
      <w:r w:rsidR="00ED5891" w:rsidRPr="00327A01">
        <w:rPr>
          <w:lang w:val="fr-FR"/>
        </w:rPr>
        <w:t>supérieurs de 10</w:t>
      </w:r>
      <w:r w:rsidR="00327A01" w:rsidRPr="00327A01">
        <w:rPr>
          <w:lang w:val="fr-FR"/>
        </w:rPr>
        <w:t xml:space="preserve"> %</w:t>
      </w:r>
      <w:r w:rsidR="00ED5891" w:rsidRPr="00327A01">
        <w:rPr>
          <w:lang w:val="fr-FR"/>
        </w:rPr>
        <w:t xml:space="preserve"> </w:t>
      </w:r>
      <w:r w:rsidR="00327A01" w:rsidRPr="00327A01">
        <w:rPr>
          <w:lang w:val="fr-FR"/>
        </w:rPr>
        <w:t>et de</w:t>
      </w:r>
      <w:r w:rsidR="00ED5891" w:rsidRPr="00327A01">
        <w:rPr>
          <w:lang w:val="fr-FR"/>
        </w:rPr>
        <w:t xml:space="preserve"> 20</w:t>
      </w:r>
      <w:r w:rsidR="009F1011" w:rsidRPr="00327A01">
        <w:rPr>
          <w:lang w:val="fr-FR"/>
        </w:rPr>
        <w:t xml:space="preserve"> </w:t>
      </w:r>
      <w:r w:rsidR="00327A01" w:rsidRPr="00327A01">
        <w:rPr>
          <w:lang w:val="fr-FR"/>
        </w:rPr>
        <w:t xml:space="preserve">%, </w:t>
      </w:r>
      <w:r w:rsidR="00ED5891" w:rsidRPr="00327A01">
        <w:rPr>
          <w:lang w:val="fr-FR"/>
        </w:rPr>
        <w:t>pour les plus grosses installations pour lesquelles le niveau d’émissions est forte</w:t>
      </w:r>
      <w:r w:rsidR="00327A01" w:rsidRPr="00327A01">
        <w:rPr>
          <w:lang w:val="fr-FR"/>
        </w:rPr>
        <w:t>ment lié au niveau d’entretien,</w:t>
      </w:r>
      <w:r w:rsidR="00ED5891" w:rsidRPr="00327A01">
        <w:rPr>
          <w:lang w:val="fr-FR"/>
        </w:rPr>
        <w:t xml:space="preserve"> à ceux observés en</w:t>
      </w:r>
      <w:r w:rsidR="00B94A7B" w:rsidRPr="00327A01">
        <w:rPr>
          <w:lang w:val="fr-FR"/>
        </w:rPr>
        <w:t xml:space="preserve"> métropole et identiques pour tous les territoires</w:t>
      </w:r>
      <w:r w:rsidR="00ED5891">
        <w:rPr>
          <w:lang w:val="fr-FR"/>
        </w:rPr>
        <w:t>, excepté en climatisation automobile où la pénalité est portée sur le taux de pertes accidentelles, qui passe de 15 à 20</w:t>
      </w:r>
      <w:r w:rsidR="009F1011">
        <w:rPr>
          <w:lang w:val="fr-FR"/>
        </w:rPr>
        <w:t xml:space="preserve"> </w:t>
      </w:r>
      <w:r w:rsidR="00ED5891">
        <w:rPr>
          <w:lang w:val="fr-FR"/>
        </w:rPr>
        <w:t>g/an, comme dans les pays de type « A5 »</w:t>
      </w:r>
      <w:r w:rsidR="00B94A7B">
        <w:rPr>
          <w:lang w:val="fr-FR"/>
        </w:rPr>
        <w:t>.</w:t>
      </w:r>
      <w:r>
        <w:rPr>
          <w:lang w:val="fr-FR"/>
        </w:rPr>
        <w:t xml:space="preserve"> Le tableau </w:t>
      </w:r>
      <w:r w:rsidR="008203B6">
        <w:rPr>
          <w:lang w:val="fr-FR"/>
        </w:rPr>
        <w:t>15</w:t>
      </w:r>
      <w:r>
        <w:rPr>
          <w:lang w:val="fr-FR"/>
        </w:rPr>
        <w:t xml:space="preserve"> récapitule les valeurs atteintes en 2010. </w:t>
      </w:r>
    </w:p>
    <w:p w:rsidR="00FC10F0" w:rsidRPr="00D60980" w:rsidRDefault="00FC10F0" w:rsidP="00FC10F0">
      <w:pPr>
        <w:pStyle w:val="Sous-titre"/>
        <w:spacing w:after="100"/>
        <w:ind w:left="720"/>
        <w:jc w:val="center"/>
        <w:rPr>
          <w:sz w:val="20"/>
          <w:szCs w:val="20"/>
          <w:lang w:val="fr-FR"/>
        </w:rPr>
      </w:pPr>
      <w:r>
        <w:rPr>
          <w:lang w:val="fr-FR"/>
        </w:rPr>
        <w:t xml:space="preserve">Tableau </w:t>
      </w:r>
      <w:r w:rsidR="008203B6">
        <w:rPr>
          <w:lang w:val="fr-FR"/>
        </w:rPr>
        <w:t>15</w:t>
      </w:r>
      <w:r w:rsidRPr="00C8316D">
        <w:rPr>
          <w:lang w:val="fr-FR"/>
        </w:rPr>
        <w:t xml:space="preserve"> – </w:t>
      </w:r>
      <w:r>
        <w:rPr>
          <w:lang w:val="fr-FR"/>
        </w:rPr>
        <w:t>niveaux d’emissions et efficacites de recuperation par secteur en 2010</w:t>
      </w:r>
    </w:p>
    <w:tbl>
      <w:tblPr>
        <w:tblStyle w:val="Grilledutableau"/>
        <w:tblW w:w="5000" w:type="pct"/>
        <w:jc w:val="center"/>
        <w:tblLayout w:type="fixed"/>
        <w:tblLook w:val="04A0"/>
      </w:tblPr>
      <w:tblGrid>
        <w:gridCol w:w="1808"/>
        <w:gridCol w:w="1131"/>
        <w:gridCol w:w="1284"/>
        <w:gridCol w:w="1982"/>
        <w:gridCol w:w="1417"/>
        <w:gridCol w:w="1666"/>
      </w:tblGrid>
      <w:tr w:rsidR="00FC10F0" w:rsidRPr="0072532C" w:rsidTr="00904892">
        <w:trPr>
          <w:jc w:val="center"/>
        </w:trPr>
        <w:tc>
          <w:tcPr>
            <w:tcW w:w="2273" w:type="pct"/>
            <w:gridSpan w:val="3"/>
            <w:shd w:val="clear" w:color="auto" w:fill="C6D9F1" w:themeFill="text2" w:themeFillTint="33"/>
            <w:vAlign w:val="center"/>
          </w:tcPr>
          <w:p w:rsidR="00FC10F0" w:rsidRPr="00795158" w:rsidRDefault="00FC10F0" w:rsidP="00FC10F0">
            <w:pPr>
              <w:spacing w:before="0"/>
              <w:jc w:val="center"/>
              <w:rPr>
                <w:b/>
                <w:sz w:val="18"/>
                <w:szCs w:val="18"/>
                <w:lang w:val="fr-FR"/>
              </w:rPr>
            </w:pPr>
          </w:p>
        </w:tc>
        <w:tc>
          <w:tcPr>
            <w:tcW w:w="1067" w:type="pct"/>
            <w:shd w:val="clear" w:color="auto" w:fill="C6D9F1" w:themeFill="text2" w:themeFillTint="33"/>
            <w:vAlign w:val="center"/>
          </w:tcPr>
          <w:p w:rsidR="00FC10F0" w:rsidRDefault="00FC10F0" w:rsidP="00FC10F0">
            <w:pPr>
              <w:spacing w:before="0"/>
              <w:jc w:val="center"/>
              <w:rPr>
                <w:b/>
                <w:sz w:val="18"/>
                <w:szCs w:val="18"/>
              </w:rPr>
            </w:pPr>
            <w:r>
              <w:rPr>
                <w:b/>
                <w:sz w:val="18"/>
                <w:szCs w:val="18"/>
              </w:rPr>
              <w:t>Taux d’émissions 2010</w:t>
            </w:r>
          </w:p>
          <w:p w:rsidR="00FC10F0" w:rsidRDefault="00FC10F0" w:rsidP="00FC10F0">
            <w:pPr>
              <w:spacing w:before="0"/>
              <w:jc w:val="center"/>
              <w:rPr>
                <w:b/>
                <w:sz w:val="18"/>
                <w:szCs w:val="18"/>
              </w:rPr>
            </w:pPr>
            <w:r>
              <w:rPr>
                <w:b/>
                <w:sz w:val="18"/>
                <w:szCs w:val="18"/>
              </w:rPr>
              <w:t>(%)</w:t>
            </w:r>
          </w:p>
        </w:tc>
        <w:tc>
          <w:tcPr>
            <w:tcW w:w="1660" w:type="pct"/>
            <w:gridSpan w:val="2"/>
            <w:shd w:val="clear" w:color="auto" w:fill="C6D9F1" w:themeFill="text2" w:themeFillTint="33"/>
            <w:vAlign w:val="center"/>
          </w:tcPr>
          <w:p w:rsidR="00FC10F0" w:rsidRDefault="00FC10F0" w:rsidP="00FC10F0">
            <w:pPr>
              <w:spacing w:before="0"/>
              <w:jc w:val="center"/>
              <w:rPr>
                <w:b/>
                <w:sz w:val="18"/>
                <w:szCs w:val="18"/>
              </w:rPr>
            </w:pPr>
            <w:r>
              <w:rPr>
                <w:b/>
                <w:sz w:val="18"/>
                <w:szCs w:val="18"/>
              </w:rPr>
              <w:t>Efficacités de récupération 2010 (%)</w:t>
            </w:r>
          </w:p>
        </w:tc>
      </w:tr>
      <w:tr w:rsidR="00FC10F0" w:rsidRPr="0072532C" w:rsidTr="00FC10F0">
        <w:trPr>
          <w:jc w:val="center"/>
        </w:trPr>
        <w:tc>
          <w:tcPr>
            <w:tcW w:w="2273" w:type="pct"/>
            <w:gridSpan w:val="3"/>
            <w:vAlign w:val="center"/>
          </w:tcPr>
          <w:p w:rsidR="00FC10F0" w:rsidRPr="0072532C" w:rsidRDefault="00FC10F0" w:rsidP="00FC10F0">
            <w:pPr>
              <w:spacing w:before="0"/>
              <w:jc w:val="center"/>
              <w:rPr>
                <w:b/>
                <w:sz w:val="18"/>
                <w:szCs w:val="18"/>
              </w:rPr>
            </w:pPr>
            <w:r w:rsidRPr="0072532C">
              <w:rPr>
                <w:b/>
                <w:sz w:val="18"/>
                <w:szCs w:val="18"/>
              </w:rPr>
              <w:t>SECTEUR</w:t>
            </w:r>
          </w:p>
        </w:tc>
        <w:tc>
          <w:tcPr>
            <w:tcW w:w="1067" w:type="pct"/>
            <w:vAlign w:val="center"/>
          </w:tcPr>
          <w:p w:rsidR="00FC10F0" w:rsidRPr="0072532C" w:rsidRDefault="00FC10F0" w:rsidP="00FC10F0">
            <w:pPr>
              <w:spacing w:before="0"/>
              <w:jc w:val="center"/>
              <w:rPr>
                <w:b/>
                <w:sz w:val="18"/>
                <w:szCs w:val="18"/>
              </w:rPr>
            </w:pPr>
            <w:r>
              <w:rPr>
                <w:b/>
                <w:sz w:val="18"/>
                <w:szCs w:val="18"/>
              </w:rPr>
              <w:t>Tous territoires</w:t>
            </w:r>
          </w:p>
        </w:tc>
        <w:tc>
          <w:tcPr>
            <w:tcW w:w="763" w:type="pct"/>
            <w:vAlign w:val="center"/>
          </w:tcPr>
          <w:p w:rsidR="00FC10F0" w:rsidRPr="0072532C" w:rsidRDefault="00FC10F0" w:rsidP="00FC10F0">
            <w:pPr>
              <w:spacing w:before="0"/>
              <w:jc w:val="center"/>
              <w:rPr>
                <w:b/>
                <w:sz w:val="18"/>
                <w:szCs w:val="18"/>
              </w:rPr>
            </w:pPr>
            <w:r>
              <w:rPr>
                <w:b/>
                <w:sz w:val="18"/>
                <w:szCs w:val="18"/>
              </w:rPr>
              <w:t>« Métropole Décalé » GROUPE 1</w:t>
            </w:r>
          </w:p>
        </w:tc>
        <w:tc>
          <w:tcPr>
            <w:tcW w:w="897" w:type="pct"/>
            <w:vAlign w:val="center"/>
          </w:tcPr>
          <w:p w:rsidR="00FC10F0" w:rsidRPr="0072532C" w:rsidRDefault="00FC10F0" w:rsidP="00FC10F0">
            <w:pPr>
              <w:spacing w:before="0"/>
              <w:jc w:val="center"/>
              <w:rPr>
                <w:b/>
                <w:sz w:val="18"/>
                <w:szCs w:val="18"/>
              </w:rPr>
            </w:pPr>
            <w:r>
              <w:rPr>
                <w:b/>
                <w:sz w:val="18"/>
                <w:szCs w:val="18"/>
              </w:rPr>
              <w:t>« Economy In Transition » GROUPE 2</w:t>
            </w:r>
          </w:p>
        </w:tc>
      </w:tr>
      <w:tr w:rsidR="00FC10F0" w:rsidRPr="0072532C" w:rsidTr="00F9187E">
        <w:trPr>
          <w:trHeight w:val="307"/>
          <w:jc w:val="center"/>
        </w:trPr>
        <w:tc>
          <w:tcPr>
            <w:tcW w:w="973" w:type="pct"/>
            <w:vMerge w:val="restart"/>
            <w:vAlign w:val="center"/>
          </w:tcPr>
          <w:p w:rsidR="00FC10F0" w:rsidRPr="0072532C" w:rsidRDefault="00FC10F0" w:rsidP="00FC10F0">
            <w:pPr>
              <w:spacing w:before="0"/>
              <w:jc w:val="center"/>
              <w:rPr>
                <w:b/>
                <w:sz w:val="18"/>
                <w:szCs w:val="18"/>
              </w:rPr>
            </w:pPr>
            <w:r w:rsidRPr="0072532C">
              <w:rPr>
                <w:b/>
                <w:sz w:val="18"/>
                <w:szCs w:val="18"/>
              </w:rPr>
              <w:t>Froid Domestique</w:t>
            </w:r>
          </w:p>
        </w:tc>
        <w:tc>
          <w:tcPr>
            <w:tcW w:w="1300" w:type="pct"/>
            <w:gridSpan w:val="2"/>
            <w:vAlign w:val="center"/>
          </w:tcPr>
          <w:p w:rsidR="00FC10F0" w:rsidRPr="0072532C" w:rsidRDefault="00FC10F0" w:rsidP="00FC10F0">
            <w:pPr>
              <w:spacing w:before="0"/>
              <w:jc w:val="center"/>
              <w:rPr>
                <w:b/>
                <w:sz w:val="18"/>
                <w:szCs w:val="18"/>
              </w:rPr>
            </w:pPr>
            <w:r w:rsidRPr="0072532C">
              <w:rPr>
                <w:color w:val="000000" w:themeColor="text1"/>
                <w:sz w:val="18"/>
                <w:szCs w:val="18"/>
              </w:rPr>
              <w:t>Réfrigérateurs</w:t>
            </w:r>
          </w:p>
        </w:tc>
        <w:tc>
          <w:tcPr>
            <w:tcW w:w="1067" w:type="pct"/>
            <w:vAlign w:val="center"/>
          </w:tcPr>
          <w:p w:rsidR="00FC10F0" w:rsidRPr="008A3E8A" w:rsidRDefault="00FC10F0" w:rsidP="00FC10F0">
            <w:pPr>
              <w:spacing w:before="0"/>
              <w:jc w:val="center"/>
              <w:rPr>
                <w:color w:val="000000" w:themeColor="text1"/>
                <w:sz w:val="18"/>
                <w:szCs w:val="18"/>
              </w:rPr>
            </w:pPr>
            <w:r w:rsidRPr="008A3E8A">
              <w:rPr>
                <w:color w:val="000000" w:themeColor="text1"/>
                <w:sz w:val="18"/>
                <w:szCs w:val="18"/>
              </w:rPr>
              <w:t>0,01</w:t>
            </w:r>
          </w:p>
        </w:tc>
        <w:tc>
          <w:tcPr>
            <w:tcW w:w="763" w:type="pct"/>
            <w:vAlign w:val="center"/>
          </w:tcPr>
          <w:p w:rsidR="00FC10F0" w:rsidRPr="008A3E8A" w:rsidRDefault="00FC10F0" w:rsidP="00FC10F0">
            <w:pPr>
              <w:spacing w:before="0"/>
              <w:jc w:val="center"/>
              <w:rPr>
                <w:color w:val="000000" w:themeColor="text1"/>
                <w:sz w:val="18"/>
                <w:szCs w:val="18"/>
              </w:rPr>
            </w:pPr>
            <w:r>
              <w:rPr>
                <w:color w:val="000000" w:themeColor="text1"/>
                <w:sz w:val="18"/>
                <w:szCs w:val="18"/>
              </w:rPr>
              <w:t>7</w:t>
            </w:r>
          </w:p>
        </w:tc>
        <w:tc>
          <w:tcPr>
            <w:tcW w:w="897" w:type="pct"/>
            <w:vAlign w:val="center"/>
          </w:tcPr>
          <w:p w:rsidR="00FC10F0" w:rsidRPr="008A3E8A" w:rsidRDefault="00FC10F0" w:rsidP="00FC10F0">
            <w:pPr>
              <w:spacing w:before="0"/>
              <w:jc w:val="center"/>
              <w:rPr>
                <w:color w:val="000000" w:themeColor="text1"/>
                <w:sz w:val="18"/>
                <w:szCs w:val="18"/>
              </w:rPr>
            </w:pPr>
            <w:r w:rsidRPr="008A3E8A">
              <w:rPr>
                <w:color w:val="000000" w:themeColor="text1"/>
                <w:sz w:val="18"/>
                <w:szCs w:val="18"/>
              </w:rPr>
              <w:t>0</w:t>
            </w:r>
          </w:p>
        </w:tc>
      </w:tr>
      <w:tr w:rsidR="00FC10F0" w:rsidRPr="0072532C" w:rsidTr="00F9187E">
        <w:trPr>
          <w:trHeight w:val="263"/>
          <w:jc w:val="center"/>
        </w:trPr>
        <w:tc>
          <w:tcPr>
            <w:tcW w:w="973" w:type="pct"/>
            <w:vMerge/>
            <w:vAlign w:val="center"/>
          </w:tcPr>
          <w:p w:rsidR="00FC10F0" w:rsidRPr="0072532C" w:rsidRDefault="00FC10F0" w:rsidP="00FC10F0">
            <w:pPr>
              <w:spacing w:before="0"/>
              <w:jc w:val="center"/>
              <w:rPr>
                <w:b/>
                <w:sz w:val="18"/>
                <w:szCs w:val="18"/>
              </w:rPr>
            </w:pPr>
          </w:p>
        </w:tc>
        <w:tc>
          <w:tcPr>
            <w:tcW w:w="1300" w:type="pct"/>
            <w:gridSpan w:val="2"/>
            <w:vAlign w:val="center"/>
          </w:tcPr>
          <w:p w:rsidR="00FC10F0" w:rsidRPr="0072532C" w:rsidRDefault="00FC10F0" w:rsidP="00FC10F0">
            <w:pPr>
              <w:spacing w:before="0"/>
              <w:jc w:val="center"/>
              <w:rPr>
                <w:color w:val="000000" w:themeColor="text1"/>
                <w:sz w:val="18"/>
                <w:szCs w:val="18"/>
              </w:rPr>
            </w:pPr>
            <w:r w:rsidRPr="0072532C">
              <w:rPr>
                <w:color w:val="000000" w:themeColor="text1"/>
                <w:sz w:val="18"/>
                <w:szCs w:val="18"/>
              </w:rPr>
              <w:t>Congélateurs</w:t>
            </w:r>
          </w:p>
        </w:tc>
        <w:tc>
          <w:tcPr>
            <w:tcW w:w="1067" w:type="pct"/>
            <w:vAlign w:val="center"/>
          </w:tcPr>
          <w:p w:rsidR="00FC10F0" w:rsidRPr="008A3E8A" w:rsidRDefault="00FC10F0" w:rsidP="00FC10F0">
            <w:pPr>
              <w:spacing w:before="0"/>
              <w:jc w:val="center"/>
              <w:rPr>
                <w:color w:val="000000" w:themeColor="text1"/>
                <w:sz w:val="18"/>
                <w:szCs w:val="18"/>
              </w:rPr>
            </w:pPr>
            <w:r w:rsidRPr="008A3E8A">
              <w:rPr>
                <w:color w:val="000000" w:themeColor="text1"/>
                <w:sz w:val="18"/>
                <w:szCs w:val="18"/>
              </w:rPr>
              <w:t>0,01</w:t>
            </w:r>
          </w:p>
        </w:tc>
        <w:tc>
          <w:tcPr>
            <w:tcW w:w="763" w:type="pct"/>
            <w:vAlign w:val="center"/>
          </w:tcPr>
          <w:p w:rsidR="00FC10F0" w:rsidRPr="008A3E8A" w:rsidRDefault="00FC10F0" w:rsidP="00FC10F0">
            <w:pPr>
              <w:spacing w:before="0"/>
              <w:jc w:val="center"/>
              <w:rPr>
                <w:color w:val="000000" w:themeColor="text1"/>
                <w:sz w:val="18"/>
                <w:szCs w:val="18"/>
              </w:rPr>
            </w:pPr>
            <w:r>
              <w:rPr>
                <w:color w:val="000000" w:themeColor="text1"/>
                <w:sz w:val="18"/>
                <w:szCs w:val="18"/>
              </w:rPr>
              <w:t>7</w:t>
            </w:r>
          </w:p>
        </w:tc>
        <w:tc>
          <w:tcPr>
            <w:tcW w:w="897" w:type="pct"/>
            <w:vAlign w:val="center"/>
          </w:tcPr>
          <w:p w:rsidR="00FC10F0" w:rsidRPr="008A3E8A" w:rsidRDefault="00FC10F0" w:rsidP="00FC10F0">
            <w:pPr>
              <w:spacing w:before="0"/>
              <w:jc w:val="center"/>
              <w:rPr>
                <w:color w:val="000000" w:themeColor="text1"/>
                <w:sz w:val="18"/>
                <w:szCs w:val="18"/>
              </w:rPr>
            </w:pPr>
            <w:r w:rsidRPr="008A3E8A">
              <w:rPr>
                <w:color w:val="000000" w:themeColor="text1"/>
                <w:sz w:val="18"/>
                <w:szCs w:val="18"/>
              </w:rPr>
              <w:t>0</w:t>
            </w:r>
          </w:p>
        </w:tc>
      </w:tr>
      <w:tr w:rsidR="00FC10F0" w:rsidRPr="0072532C" w:rsidTr="00F9187E">
        <w:trPr>
          <w:trHeight w:val="273"/>
          <w:jc w:val="center"/>
        </w:trPr>
        <w:tc>
          <w:tcPr>
            <w:tcW w:w="973" w:type="pct"/>
            <w:vMerge w:val="restart"/>
            <w:vAlign w:val="center"/>
          </w:tcPr>
          <w:p w:rsidR="00FC10F0" w:rsidRPr="0072532C" w:rsidRDefault="00FC10F0" w:rsidP="00FC10F0">
            <w:pPr>
              <w:spacing w:before="0"/>
              <w:jc w:val="center"/>
              <w:rPr>
                <w:b/>
                <w:sz w:val="18"/>
                <w:szCs w:val="18"/>
              </w:rPr>
            </w:pPr>
            <w:r w:rsidRPr="0072532C">
              <w:rPr>
                <w:b/>
                <w:sz w:val="18"/>
                <w:szCs w:val="18"/>
              </w:rPr>
              <w:t>Froid Commercial</w:t>
            </w:r>
          </w:p>
        </w:tc>
        <w:tc>
          <w:tcPr>
            <w:tcW w:w="1300" w:type="pct"/>
            <w:gridSpan w:val="2"/>
            <w:vAlign w:val="center"/>
          </w:tcPr>
          <w:p w:rsidR="00FC10F0" w:rsidRPr="0072532C" w:rsidRDefault="00FC10F0" w:rsidP="00FC10F0">
            <w:pPr>
              <w:spacing w:before="0"/>
              <w:jc w:val="center"/>
              <w:rPr>
                <w:color w:val="000000" w:themeColor="text1"/>
                <w:sz w:val="18"/>
                <w:szCs w:val="18"/>
              </w:rPr>
            </w:pPr>
            <w:r w:rsidRPr="0072532C">
              <w:rPr>
                <w:color w:val="000000" w:themeColor="text1"/>
                <w:sz w:val="18"/>
                <w:szCs w:val="18"/>
              </w:rPr>
              <w:t>Supermarchés</w:t>
            </w:r>
          </w:p>
        </w:tc>
        <w:tc>
          <w:tcPr>
            <w:tcW w:w="1067" w:type="pct"/>
            <w:vAlign w:val="center"/>
          </w:tcPr>
          <w:p w:rsidR="00FC10F0" w:rsidRPr="008A3E8A" w:rsidRDefault="009F1011" w:rsidP="00FC10F0">
            <w:pPr>
              <w:spacing w:before="0"/>
              <w:jc w:val="center"/>
              <w:rPr>
                <w:sz w:val="18"/>
                <w:szCs w:val="18"/>
              </w:rPr>
            </w:pPr>
            <w:r>
              <w:rPr>
                <w:sz w:val="18"/>
                <w:szCs w:val="18"/>
              </w:rPr>
              <w:t>28</w:t>
            </w:r>
          </w:p>
        </w:tc>
        <w:tc>
          <w:tcPr>
            <w:tcW w:w="763" w:type="pct"/>
            <w:vAlign w:val="center"/>
          </w:tcPr>
          <w:p w:rsidR="00FC10F0" w:rsidRPr="008A3E8A" w:rsidRDefault="00FC10F0" w:rsidP="00FC10F0">
            <w:pPr>
              <w:spacing w:before="0"/>
              <w:jc w:val="center"/>
              <w:rPr>
                <w:sz w:val="18"/>
                <w:szCs w:val="18"/>
              </w:rPr>
            </w:pPr>
            <w:r w:rsidRPr="008A3E8A">
              <w:rPr>
                <w:sz w:val="18"/>
                <w:szCs w:val="18"/>
              </w:rPr>
              <w:t>56</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r>
              <w:rPr>
                <w:sz w:val="18"/>
                <w:szCs w:val="18"/>
              </w:rPr>
              <w:t>5</w:t>
            </w:r>
          </w:p>
        </w:tc>
      </w:tr>
      <w:tr w:rsidR="00FC10F0" w:rsidRPr="009329B5" w:rsidTr="00F9187E">
        <w:trPr>
          <w:trHeight w:val="70"/>
          <w:jc w:val="center"/>
        </w:trPr>
        <w:tc>
          <w:tcPr>
            <w:tcW w:w="973" w:type="pct"/>
            <w:vMerge/>
            <w:vAlign w:val="center"/>
          </w:tcPr>
          <w:p w:rsidR="00FC10F0" w:rsidRPr="0072532C" w:rsidRDefault="00FC10F0" w:rsidP="00FC10F0">
            <w:pPr>
              <w:spacing w:before="0"/>
              <w:jc w:val="center"/>
              <w:rPr>
                <w:b/>
                <w:sz w:val="18"/>
                <w:szCs w:val="18"/>
              </w:rPr>
            </w:pPr>
          </w:p>
        </w:tc>
        <w:tc>
          <w:tcPr>
            <w:tcW w:w="1300" w:type="pct"/>
            <w:gridSpan w:val="2"/>
            <w:vAlign w:val="center"/>
          </w:tcPr>
          <w:p w:rsidR="00FC10F0" w:rsidRPr="0072532C" w:rsidRDefault="00FC10F0" w:rsidP="00FC10F0">
            <w:pPr>
              <w:spacing w:before="0"/>
              <w:jc w:val="center"/>
              <w:rPr>
                <w:color w:val="000000" w:themeColor="text1"/>
                <w:sz w:val="18"/>
                <w:szCs w:val="18"/>
              </w:rPr>
            </w:pPr>
            <w:r w:rsidRPr="0072532C">
              <w:rPr>
                <w:color w:val="000000" w:themeColor="text1"/>
                <w:sz w:val="18"/>
                <w:szCs w:val="18"/>
              </w:rPr>
              <w:t>Hypermarchés</w:t>
            </w:r>
          </w:p>
        </w:tc>
        <w:tc>
          <w:tcPr>
            <w:tcW w:w="1067" w:type="pct"/>
            <w:vAlign w:val="center"/>
          </w:tcPr>
          <w:p w:rsidR="00FC10F0" w:rsidRPr="008A3E8A" w:rsidRDefault="00FC10F0" w:rsidP="00FC10F0">
            <w:pPr>
              <w:spacing w:before="0"/>
              <w:jc w:val="center"/>
              <w:rPr>
                <w:sz w:val="18"/>
                <w:szCs w:val="18"/>
              </w:rPr>
            </w:pPr>
            <w:r w:rsidRPr="008A3E8A">
              <w:rPr>
                <w:sz w:val="18"/>
                <w:szCs w:val="18"/>
              </w:rPr>
              <w:t>36</w:t>
            </w:r>
          </w:p>
        </w:tc>
        <w:tc>
          <w:tcPr>
            <w:tcW w:w="763" w:type="pct"/>
            <w:vAlign w:val="center"/>
          </w:tcPr>
          <w:p w:rsidR="00FC10F0" w:rsidRPr="008A3E8A" w:rsidRDefault="00FC10F0" w:rsidP="00FC10F0">
            <w:pPr>
              <w:spacing w:before="0"/>
              <w:jc w:val="center"/>
              <w:rPr>
                <w:sz w:val="18"/>
                <w:szCs w:val="18"/>
              </w:rPr>
            </w:pPr>
            <w:r w:rsidRPr="008A3E8A">
              <w:rPr>
                <w:sz w:val="18"/>
                <w:szCs w:val="18"/>
              </w:rPr>
              <w:t>56</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r>
              <w:rPr>
                <w:sz w:val="18"/>
                <w:szCs w:val="18"/>
              </w:rPr>
              <w:t>5</w:t>
            </w:r>
          </w:p>
        </w:tc>
      </w:tr>
      <w:tr w:rsidR="00FC10F0" w:rsidRPr="0072532C" w:rsidTr="00F9187E">
        <w:trPr>
          <w:trHeight w:val="70"/>
          <w:jc w:val="center"/>
        </w:trPr>
        <w:tc>
          <w:tcPr>
            <w:tcW w:w="973" w:type="pct"/>
            <w:vMerge/>
            <w:vAlign w:val="center"/>
          </w:tcPr>
          <w:p w:rsidR="00FC10F0" w:rsidRPr="00C7325C" w:rsidRDefault="00FC10F0" w:rsidP="00FC10F0">
            <w:pPr>
              <w:spacing w:before="0"/>
              <w:jc w:val="center"/>
              <w:rPr>
                <w:b/>
                <w:sz w:val="18"/>
                <w:szCs w:val="18"/>
              </w:rPr>
            </w:pPr>
          </w:p>
        </w:tc>
        <w:tc>
          <w:tcPr>
            <w:tcW w:w="1300" w:type="pct"/>
            <w:gridSpan w:val="2"/>
            <w:vAlign w:val="center"/>
          </w:tcPr>
          <w:p w:rsidR="00FC10F0" w:rsidRPr="00795158" w:rsidRDefault="00FC10F0" w:rsidP="00FC10F0">
            <w:pPr>
              <w:spacing w:before="0"/>
              <w:jc w:val="center"/>
              <w:rPr>
                <w:color w:val="000000" w:themeColor="text1"/>
                <w:sz w:val="18"/>
                <w:szCs w:val="18"/>
                <w:lang w:val="fr-FR"/>
              </w:rPr>
            </w:pPr>
            <w:r w:rsidRPr="00795158">
              <w:rPr>
                <w:color w:val="000000" w:themeColor="text1"/>
                <w:sz w:val="18"/>
                <w:szCs w:val="18"/>
                <w:lang w:val="fr-FR"/>
              </w:rPr>
              <w:t>Groupes hermétiques pour petits commerces</w:t>
            </w:r>
          </w:p>
        </w:tc>
        <w:tc>
          <w:tcPr>
            <w:tcW w:w="1067" w:type="pct"/>
            <w:vAlign w:val="center"/>
          </w:tcPr>
          <w:p w:rsidR="00FC10F0" w:rsidRPr="008A3E8A" w:rsidRDefault="00FC10F0" w:rsidP="00FC10F0">
            <w:pPr>
              <w:spacing w:before="0"/>
              <w:jc w:val="center"/>
              <w:rPr>
                <w:sz w:val="18"/>
                <w:szCs w:val="18"/>
              </w:rPr>
            </w:pPr>
            <w:r w:rsidRPr="008A3E8A">
              <w:rPr>
                <w:sz w:val="18"/>
                <w:szCs w:val="18"/>
              </w:rPr>
              <w:t>1</w:t>
            </w:r>
          </w:p>
        </w:tc>
        <w:tc>
          <w:tcPr>
            <w:tcW w:w="763" w:type="pct"/>
            <w:vAlign w:val="center"/>
          </w:tcPr>
          <w:p w:rsidR="00FC10F0" w:rsidRPr="008A3E8A" w:rsidRDefault="00FC10F0" w:rsidP="00FC10F0">
            <w:pPr>
              <w:spacing w:before="0"/>
              <w:jc w:val="center"/>
              <w:rPr>
                <w:sz w:val="18"/>
                <w:szCs w:val="18"/>
              </w:rPr>
            </w:pPr>
            <w:r w:rsidRPr="008A3E8A">
              <w:rPr>
                <w:sz w:val="18"/>
                <w:szCs w:val="18"/>
              </w:rPr>
              <w:t>0</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9329B5" w:rsidTr="00F9187E">
        <w:trPr>
          <w:trHeight w:val="70"/>
          <w:jc w:val="center"/>
        </w:trPr>
        <w:tc>
          <w:tcPr>
            <w:tcW w:w="973" w:type="pct"/>
            <w:vMerge/>
            <w:vAlign w:val="center"/>
          </w:tcPr>
          <w:p w:rsidR="00FC10F0" w:rsidRPr="0072532C" w:rsidRDefault="00FC10F0" w:rsidP="00FC10F0">
            <w:pPr>
              <w:spacing w:before="0"/>
              <w:jc w:val="center"/>
              <w:rPr>
                <w:b/>
                <w:sz w:val="18"/>
                <w:szCs w:val="18"/>
              </w:rPr>
            </w:pPr>
          </w:p>
        </w:tc>
        <w:tc>
          <w:tcPr>
            <w:tcW w:w="1300" w:type="pct"/>
            <w:gridSpan w:val="2"/>
            <w:vAlign w:val="center"/>
          </w:tcPr>
          <w:p w:rsidR="00FC10F0" w:rsidRPr="00795158" w:rsidRDefault="00FC10F0" w:rsidP="00FC10F0">
            <w:pPr>
              <w:spacing w:before="0"/>
              <w:jc w:val="center"/>
              <w:rPr>
                <w:color w:val="000000" w:themeColor="text1"/>
                <w:sz w:val="18"/>
                <w:szCs w:val="18"/>
                <w:lang w:val="fr-FR"/>
              </w:rPr>
            </w:pPr>
            <w:r w:rsidRPr="00795158">
              <w:rPr>
                <w:color w:val="000000" w:themeColor="text1"/>
                <w:sz w:val="18"/>
                <w:szCs w:val="18"/>
                <w:lang w:val="fr-FR"/>
              </w:rPr>
              <w:t>Groupes de condensation pour petits commerces</w:t>
            </w:r>
          </w:p>
        </w:tc>
        <w:tc>
          <w:tcPr>
            <w:tcW w:w="1067" w:type="pct"/>
            <w:vAlign w:val="center"/>
          </w:tcPr>
          <w:p w:rsidR="00FC10F0" w:rsidRPr="008A3E8A" w:rsidRDefault="00FC10F0" w:rsidP="00FC10F0">
            <w:pPr>
              <w:spacing w:before="0"/>
              <w:jc w:val="center"/>
              <w:rPr>
                <w:sz w:val="18"/>
                <w:szCs w:val="18"/>
              </w:rPr>
            </w:pPr>
            <w:r w:rsidRPr="008A3E8A">
              <w:rPr>
                <w:sz w:val="18"/>
                <w:szCs w:val="18"/>
              </w:rPr>
              <w:t>16</w:t>
            </w:r>
          </w:p>
        </w:tc>
        <w:tc>
          <w:tcPr>
            <w:tcW w:w="763" w:type="pct"/>
            <w:vAlign w:val="center"/>
          </w:tcPr>
          <w:p w:rsidR="00FC10F0" w:rsidRPr="008A3E8A" w:rsidRDefault="00FC10F0" w:rsidP="00FC10F0">
            <w:pPr>
              <w:spacing w:before="0"/>
              <w:jc w:val="center"/>
              <w:rPr>
                <w:sz w:val="18"/>
                <w:szCs w:val="18"/>
              </w:rPr>
            </w:pPr>
            <w:r w:rsidRPr="008A3E8A">
              <w:rPr>
                <w:sz w:val="18"/>
                <w:szCs w:val="18"/>
              </w:rPr>
              <w:t>0</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434"/>
          <w:jc w:val="center"/>
        </w:trPr>
        <w:tc>
          <w:tcPr>
            <w:tcW w:w="973" w:type="pct"/>
            <w:vMerge w:val="restart"/>
            <w:vAlign w:val="center"/>
          </w:tcPr>
          <w:p w:rsidR="00FC10F0" w:rsidRPr="0072532C" w:rsidRDefault="00FC10F0" w:rsidP="00FC10F0">
            <w:pPr>
              <w:spacing w:before="0"/>
              <w:jc w:val="center"/>
              <w:rPr>
                <w:b/>
                <w:sz w:val="18"/>
                <w:szCs w:val="18"/>
              </w:rPr>
            </w:pPr>
            <w:r w:rsidRPr="0072532C">
              <w:rPr>
                <w:b/>
                <w:sz w:val="18"/>
                <w:szCs w:val="18"/>
              </w:rPr>
              <w:t>Transports réfrigérés</w:t>
            </w:r>
          </w:p>
        </w:tc>
        <w:tc>
          <w:tcPr>
            <w:tcW w:w="609" w:type="pct"/>
            <w:vMerge w:val="restart"/>
            <w:vAlign w:val="center"/>
          </w:tcPr>
          <w:p w:rsidR="00FC10F0" w:rsidRPr="0072532C" w:rsidRDefault="009F1011" w:rsidP="00FC10F0">
            <w:pPr>
              <w:spacing w:before="0"/>
              <w:jc w:val="center"/>
              <w:rPr>
                <w:sz w:val="18"/>
                <w:szCs w:val="18"/>
              </w:rPr>
            </w:pPr>
            <w:r>
              <w:rPr>
                <w:sz w:val="18"/>
                <w:szCs w:val="18"/>
              </w:rPr>
              <w:t>R</w:t>
            </w:r>
            <w:r w:rsidR="00FC10F0" w:rsidRPr="0072532C">
              <w:rPr>
                <w:sz w:val="18"/>
                <w:szCs w:val="18"/>
              </w:rPr>
              <w:t>outier</w:t>
            </w:r>
          </w:p>
        </w:tc>
        <w:tc>
          <w:tcPr>
            <w:tcW w:w="691" w:type="pct"/>
            <w:vAlign w:val="center"/>
          </w:tcPr>
          <w:p w:rsidR="00FC10F0" w:rsidRPr="0072532C" w:rsidRDefault="00FC10F0" w:rsidP="00FC10F0">
            <w:pPr>
              <w:spacing w:before="0"/>
              <w:jc w:val="center"/>
              <w:rPr>
                <w:sz w:val="18"/>
                <w:szCs w:val="18"/>
              </w:rPr>
            </w:pPr>
            <w:r w:rsidRPr="0072532C">
              <w:rPr>
                <w:sz w:val="18"/>
                <w:szCs w:val="18"/>
              </w:rPr>
              <w:t>Systèmes poulie-courroie</w:t>
            </w:r>
          </w:p>
        </w:tc>
        <w:tc>
          <w:tcPr>
            <w:tcW w:w="1067" w:type="pct"/>
            <w:vAlign w:val="center"/>
          </w:tcPr>
          <w:p w:rsidR="00FC10F0" w:rsidRPr="008A3E8A" w:rsidRDefault="00FC10F0" w:rsidP="00FC10F0">
            <w:pPr>
              <w:spacing w:before="0"/>
              <w:jc w:val="center"/>
              <w:rPr>
                <w:sz w:val="18"/>
                <w:szCs w:val="18"/>
              </w:rPr>
            </w:pPr>
            <w:r w:rsidRPr="008A3E8A">
              <w:rPr>
                <w:sz w:val="18"/>
                <w:szCs w:val="18"/>
              </w:rPr>
              <w:t>32</w:t>
            </w:r>
          </w:p>
        </w:tc>
        <w:tc>
          <w:tcPr>
            <w:tcW w:w="763" w:type="pct"/>
            <w:vAlign w:val="center"/>
          </w:tcPr>
          <w:p w:rsidR="00FC10F0" w:rsidRPr="008A3E8A" w:rsidRDefault="00FC10F0" w:rsidP="00FC10F0">
            <w:pPr>
              <w:spacing w:before="0"/>
              <w:jc w:val="center"/>
              <w:rPr>
                <w:sz w:val="18"/>
                <w:szCs w:val="18"/>
              </w:rPr>
            </w:pPr>
            <w:r w:rsidRPr="008A3E8A">
              <w:rPr>
                <w:sz w:val="18"/>
                <w:szCs w:val="18"/>
              </w:rPr>
              <w:t>14</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281"/>
          <w:jc w:val="center"/>
        </w:trPr>
        <w:tc>
          <w:tcPr>
            <w:tcW w:w="973" w:type="pct"/>
            <w:vMerge/>
            <w:vAlign w:val="center"/>
          </w:tcPr>
          <w:p w:rsidR="00FC10F0" w:rsidRPr="0072532C" w:rsidRDefault="00FC10F0" w:rsidP="00FC10F0">
            <w:pPr>
              <w:spacing w:before="0"/>
              <w:jc w:val="center"/>
              <w:rPr>
                <w:b/>
                <w:sz w:val="18"/>
                <w:szCs w:val="18"/>
              </w:rPr>
            </w:pPr>
          </w:p>
        </w:tc>
        <w:tc>
          <w:tcPr>
            <w:tcW w:w="609" w:type="pct"/>
            <w:vMerge/>
            <w:vAlign w:val="center"/>
          </w:tcPr>
          <w:p w:rsidR="00FC10F0" w:rsidRPr="0072532C" w:rsidRDefault="00FC10F0" w:rsidP="00FC10F0">
            <w:pPr>
              <w:spacing w:before="0"/>
              <w:jc w:val="center"/>
              <w:rPr>
                <w:sz w:val="18"/>
                <w:szCs w:val="18"/>
              </w:rPr>
            </w:pPr>
          </w:p>
        </w:tc>
        <w:tc>
          <w:tcPr>
            <w:tcW w:w="691" w:type="pct"/>
            <w:vAlign w:val="center"/>
          </w:tcPr>
          <w:p w:rsidR="00FC10F0" w:rsidRPr="0072532C" w:rsidRDefault="00FC10F0" w:rsidP="00FC10F0">
            <w:pPr>
              <w:spacing w:before="0"/>
              <w:jc w:val="center"/>
              <w:rPr>
                <w:sz w:val="18"/>
                <w:szCs w:val="18"/>
              </w:rPr>
            </w:pPr>
            <w:r w:rsidRPr="0072532C">
              <w:rPr>
                <w:sz w:val="18"/>
                <w:szCs w:val="18"/>
              </w:rPr>
              <w:t>Systèmes autonomes</w:t>
            </w:r>
          </w:p>
        </w:tc>
        <w:tc>
          <w:tcPr>
            <w:tcW w:w="1067" w:type="pct"/>
            <w:vAlign w:val="center"/>
          </w:tcPr>
          <w:p w:rsidR="00FC10F0" w:rsidRPr="008A3E8A" w:rsidRDefault="009F1011" w:rsidP="00FC10F0">
            <w:pPr>
              <w:spacing w:before="0"/>
              <w:jc w:val="center"/>
              <w:rPr>
                <w:sz w:val="18"/>
                <w:szCs w:val="18"/>
              </w:rPr>
            </w:pPr>
            <w:r>
              <w:rPr>
                <w:sz w:val="18"/>
                <w:szCs w:val="18"/>
              </w:rPr>
              <w:t>16</w:t>
            </w:r>
          </w:p>
        </w:tc>
        <w:tc>
          <w:tcPr>
            <w:tcW w:w="763" w:type="pct"/>
            <w:vAlign w:val="center"/>
          </w:tcPr>
          <w:p w:rsidR="00FC10F0" w:rsidRPr="008A3E8A" w:rsidRDefault="00FC10F0" w:rsidP="00FC10F0">
            <w:pPr>
              <w:spacing w:before="0"/>
              <w:jc w:val="center"/>
              <w:rPr>
                <w:sz w:val="18"/>
                <w:szCs w:val="18"/>
              </w:rPr>
            </w:pPr>
            <w:r w:rsidRPr="008A3E8A">
              <w:rPr>
                <w:sz w:val="18"/>
                <w:szCs w:val="18"/>
              </w:rPr>
              <w:t>14</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94"/>
          <w:jc w:val="center"/>
        </w:trPr>
        <w:tc>
          <w:tcPr>
            <w:tcW w:w="973" w:type="pct"/>
            <w:vMerge w:val="restart"/>
            <w:vAlign w:val="center"/>
          </w:tcPr>
          <w:p w:rsidR="00FC10F0" w:rsidRPr="0072532C" w:rsidRDefault="00FC10F0" w:rsidP="00FC10F0">
            <w:pPr>
              <w:spacing w:before="0"/>
              <w:jc w:val="center"/>
              <w:rPr>
                <w:b/>
                <w:sz w:val="18"/>
                <w:szCs w:val="18"/>
              </w:rPr>
            </w:pPr>
            <w:r w:rsidRPr="0072532C">
              <w:rPr>
                <w:b/>
                <w:sz w:val="18"/>
                <w:szCs w:val="18"/>
              </w:rPr>
              <w:t>Froid Industriel</w:t>
            </w:r>
          </w:p>
        </w:tc>
        <w:tc>
          <w:tcPr>
            <w:tcW w:w="609" w:type="pct"/>
            <w:vMerge w:val="restart"/>
            <w:vAlign w:val="center"/>
          </w:tcPr>
          <w:p w:rsidR="00FC10F0" w:rsidRPr="0072532C" w:rsidRDefault="00FC10F0" w:rsidP="00FC10F0">
            <w:pPr>
              <w:spacing w:before="0"/>
              <w:jc w:val="center"/>
              <w:rPr>
                <w:sz w:val="18"/>
                <w:szCs w:val="18"/>
              </w:rPr>
            </w:pPr>
            <w:r w:rsidRPr="0072532C">
              <w:rPr>
                <w:sz w:val="18"/>
                <w:szCs w:val="18"/>
              </w:rPr>
              <w:t>Agro</w:t>
            </w:r>
            <w:r w:rsidR="009F1011">
              <w:rPr>
                <w:sz w:val="18"/>
                <w:szCs w:val="18"/>
              </w:rPr>
              <w:t>-</w:t>
            </w:r>
            <w:r w:rsidRPr="0072532C">
              <w:rPr>
                <w:sz w:val="18"/>
                <w:szCs w:val="18"/>
              </w:rPr>
              <w:t>alimentaire</w:t>
            </w:r>
          </w:p>
        </w:tc>
        <w:tc>
          <w:tcPr>
            <w:tcW w:w="691" w:type="pct"/>
            <w:vAlign w:val="center"/>
          </w:tcPr>
          <w:p w:rsidR="00FC10F0" w:rsidRPr="0072532C" w:rsidRDefault="00FC10F0" w:rsidP="00FC10F0">
            <w:pPr>
              <w:spacing w:before="0"/>
              <w:jc w:val="center"/>
              <w:rPr>
                <w:sz w:val="18"/>
                <w:szCs w:val="18"/>
              </w:rPr>
            </w:pPr>
            <w:r w:rsidRPr="0072532C">
              <w:rPr>
                <w:sz w:val="18"/>
                <w:szCs w:val="18"/>
              </w:rPr>
              <w:t>Industrie de la viande</w:t>
            </w:r>
          </w:p>
        </w:tc>
        <w:tc>
          <w:tcPr>
            <w:tcW w:w="1067" w:type="pct"/>
            <w:vAlign w:val="center"/>
          </w:tcPr>
          <w:p w:rsidR="00FC10F0" w:rsidRPr="008A3E8A" w:rsidRDefault="00FC10F0" w:rsidP="00FC10F0">
            <w:pPr>
              <w:spacing w:before="0"/>
              <w:jc w:val="center"/>
              <w:rPr>
                <w:sz w:val="18"/>
                <w:szCs w:val="18"/>
              </w:rPr>
            </w:pPr>
            <w:r w:rsidRPr="008A3E8A">
              <w:rPr>
                <w:sz w:val="18"/>
                <w:szCs w:val="18"/>
              </w:rPr>
              <w:t>18</w:t>
            </w:r>
          </w:p>
        </w:tc>
        <w:tc>
          <w:tcPr>
            <w:tcW w:w="763" w:type="pct"/>
            <w:vAlign w:val="center"/>
          </w:tcPr>
          <w:p w:rsidR="00FC10F0" w:rsidRPr="008A3E8A" w:rsidRDefault="00FC10F0" w:rsidP="00FC10F0">
            <w:pPr>
              <w:spacing w:before="0"/>
              <w:jc w:val="center"/>
              <w:rPr>
                <w:sz w:val="18"/>
                <w:szCs w:val="18"/>
              </w:rPr>
            </w:pPr>
            <w:r w:rsidRPr="008A3E8A">
              <w:rPr>
                <w:sz w:val="18"/>
                <w:szCs w:val="18"/>
              </w:rPr>
              <w:t>54</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94"/>
          <w:jc w:val="center"/>
        </w:trPr>
        <w:tc>
          <w:tcPr>
            <w:tcW w:w="973" w:type="pct"/>
            <w:vMerge/>
            <w:vAlign w:val="center"/>
          </w:tcPr>
          <w:p w:rsidR="00FC10F0" w:rsidRPr="0072532C" w:rsidRDefault="00FC10F0" w:rsidP="00FC10F0">
            <w:pPr>
              <w:spacing w:before="0"/>
              <w:jc w:val="center"/>
              <w:rPr>
                <w:sz w:val="18"/>
                <w:szCs w:val="18"/>
              </w:rPr>
            </w:pPr>
          </w:p>
        </w:tc>
        <w:tc>
          <w:tcPr>
            <w:tcW w:w="609" w:type="pct"/>
            <w:vMerge/>
            <w:vAlign w:val="center"/>
          </w:tcPr>
          <w:p w:rsidR="00FC10F0" w:rsidRPr="0072532C" w:rsidRDefault="00FC10F0" w:rsidP="00FC10F0">
            <w:pPr>
              <w:spacing w:before="0"/>
              <w:jc w:val="center"/>
              <w:rPr>
                <w:sz w:val="18"/>
                <w:szCs w:val="18"/>
              </w:rPr>
            </w:pPr>
          </w:p>
        </w:tc>
        <w:tc>
          <w:tcPr>
            <w:tcW w:w="691" w:type="pct"/>
            <w:vAlign w:val="center"/>
          </w:tcPr>
          <w:p w:rsidR="00FC10F0" w:rsidRPr="0072532C" w:rsidRDefault="00FC10F0" w:rsidP="00FC10F0">
            <w:pPr>
              <w:spacing w:before="0"/>
              <w:jc w:val="center"/>
              <w:rPr>
                <w:sz w:val="18"/>
                <w:szCs w:val="18"/>
              </w:rPr>
            </w:pPr>
            <w:r w:rsidRPr="0072532C">
              <w:rPr>
                <w:sz w:val="18"/>
                <w:szCs w:val="18"/>
              </w:rPr>
              <w:t>Laiteries</w:t>
            </w:r>
          </w:p>
        </w:tc>
        <w:tc>
          <w:tcPr>
            <w:tcW w:w="1067" w:type="pct"/>
            <w:vAlign w:val="center"/>
          </w:tcPr>
          <w:p w:rsidR="00FC10F0" w:rsidRPr="008A3E8A" w:rsidRDefault="00FC10F0" w:rsidP="00FC10F0">
            <w:pPr>
              <w:spacing w:before="0"/>
              <w:jc w:val="center"/>
              <w:rPr>
                <w:sz w:val="18"/>
                <w:szCs w:val="18"/>
              </w:rPr>
            </w:pPr>
            <w:r w:rsidRPr="008A3E8A">
              <w:rPr>
                <w:sz w:val="18"/>
                <w:szCs w:val="18"/>
              </w:rPr>
              <w:t>18</w:t>
            </w:r>
          </w:p>
        </w:tc>
        <w:tc>
          <w:tcPr>
            <w:tcW w:w="763" w:type="pct"/>
            <w:vAlign w:val="center"/>
          </w:tcPr>
          <w:p w:rsidR="00FC10F0" w:rsidRPr="008A3E8A" w:rsidRDefault="00FC10F0" w:rsidP="00FC10F0">
            <w:pPr>
              <w:spacing w:before="0"/>
              <w:jc w:val="center"/>
              <w:rPr>
                <w:sz w:val="18"/>
                <w:szCs w:val="18"/>
              </w:rPr>
            </w:pPr>
            <w:r w:rsidRPr="008A3E8A">
              <w:rPr>
                <w:sz w:val="18"/>
                <w:szCs w:val="18"/>
              </w:rPr>
              <w:t>54</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94"/>
          <w:jc w:val="center"/>
        </w:trPr>
        <w:tc>
          <w:tcPr>
            <w:tcW w:w="973" w:type="pct"/>
            <w:vMerge/>
            <w:vAlign w:val="center"/>
          </w:tcPr>
          <w:p w:rsidR="00FC10F0" w:rsidRPr="0072532C" w:rsidRDefault="00FC10F0" w:rsidP="00FC10F0">
            <w:pPr>
              <w:spacing w:before="0"/>
              <w:jc w:val="center"/>
              <w:rPr>
                <w:sz w:val="18"/>
                <w:szCs w:val="18"/>
              </w:rPr>
            </w:pPr>
          </w:p>
        </w:tc>
        <w:tc>
          <w:tcPr>
            <w:tcW w:w="609" w:type="pct"/>
            <w:vMerge/>
            <w:vAlign w:val="center"/>
          </w:tcPr>
          <w:p w:rsidR="00FC10F0" w:rsidRPr="0072532C" w:rsidRDefault="00FC10F0" w:rsidP="00FC10F0">
            <w:pPr>
              <w:spacing w:before="0"/>
              <w:jc w:val="center"/>
              <w:rPr>
                <w:sz w:val="18"/>
                <w:szCs w:val="18"/>
              </w:rPr>
            </w:pPr>
          </w:p>
        </w:tc>
        <w:tc>
          <w:tcPr>
            <w:tcW w:w="691" w:type="pct"/>
            <w:vAlign w:val="center"/>
          </w:tcPr>
          <w:p w:rsidR="00FC10F0" w:rsidRPr="0072532C" w:rsidRDefault="00FC10F0" w:rsidP="00FC10F0">
            <w:pPr>
              <w:spacing w:before="0"/>
              <w:jc w:val="center"/>
              <w:rPr>
                <w:sz w:val="18"/>
                <w:szCs w:val="18"/>
              </w:rPr>
            </w:pPr>
            <w:r w:rsidRPr="0072532C">
              <w:rPr>
                <w:sz w:val="18"/>
                <w:szCs w:val="18"/>
              </w:rPr>
              <w:t>Entrepôts</w:t>
            </w:r>
          </w:p>
        </w:tc>
        <w:tc>
          <w:tcPr>
            <w:tcW w:w="1067" w:type="pct"/>
            <w:vAlign w:val="center"/>
          </w:tcPr>
          <w:p w:rsidR="00FC10F0" w:rsidRPr="008A3E8A" w:rsidRDefault="00FC10F0" w:rsidP="00FC10F0">
            <w:pPr>
              <w:spacing w:before="0"/>
              <w:jc w:val="center"/>
              <w:rPr>
                <w:sz w:val="18"/>
                <w:szCs w:val="18"/>
              </w:rPr>
            </w:pPr>
            <w:r w:rsidRPr="008A3E8A">
              <w:rPr>
                <w:sz w:val="18"/>
                <w:szCs w:val="18"/>
              </w:rPr>
              <w:t>18</w:t>
            </w:r>
          </w:p>
        </w:tc>
        <w:tc>
          <w:tcPr>
            <w:tcW w:w="763" w:type="pct"/>
            <w:vAlign w:val="center"/>
          </w:tcPr>
          <w:p w:rsidR="00FC10F0" w:rsidRPr="008A3E8A" w:rsidRDefault="00FC10F0" w:rsidP="00FC10F0">
            <w:pPr>
              <w:spacing w:before="0"/>
              <w:jc w:val="center"/>
              <w:rPr>
                <w:sz w:val="18"/>
                <w:szCs w:val="18"/>
              </w:rPr>
            </w:pPr>
            <w:r w:rsidRPr="008A3E8A">
              <w:rPr>
                <w:sz w:val="18"/>
                <w:szCs w:val="18"/>
              </w:rPr>
              <w:t>54</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140"/>
          <w:jc w:val="center"/>
        </w:trPr>
        <w:tc>
          <w:tcPr>
            <w:tcW w:w="973" w:type="pct"/>
            <w:vMerge/>
            <w:vAlign w:val="center"/>
          </w:tcPr>
          <w:p w:rsidR="00FC10F0" w:rsidRPr="0072532C" w:rsidRDefault="00FC10F0" w:rsidP="00FC10F0">
            <w:pPr>
              <w:spacing w:before="0"/>
              <w:jc w:val="center"/>
              <w:rPr>
                <w:sz w:val="18"/>
                <w:szCs w:val="18"/>
              </w:rPr>
            </w:pPr>
          </w:p>
        </w:tc>
        <w:tc>
          <w:tcPr>
            <w:tcW w:w="1300" w:type="pct"/>
            <w:gridSpan w:val="2"/>
            <w:vAlign w:val="center"/>
          </w:tcPr>
          <w:p w:rsidR="00FC10F0" w:rsidRPr="0072532C" w:rsidRDefault="00FC10F0" w:rsidP="00FC10F0">
            <w:pPr>
              <w:spacing w:before="0"/>
              <w:jc w:val="center"/>
              <w:rPr>
                <w:sz w:val="18"/>
                <w:szCs w:val="18"/>
              </w:rPr>
            </w:pPr>
            <w:r w:rsidRPr="0072532C">
              <w:rPr>
                <w:sz w:val="18"/>
                <w:szCs w:val="18"/>
              </w:rPr>
              <w:t>Tanks à lait</w:t>
            </w:r>
          </w:p>
        </w:tc>
        <w:tc>
          <w:tcPr>
            <w:tcW w:w="1067" w:type="pct"/>
            <w:vAlign w:val="center"/>
          </w:tcPr>
          <w:p w:rsidR="00FC10F0" w:rsidRPr="008A3E8A" w:rsidRDefault="00FC10F0" w:rsidP="00FC10F0">
            <w:pPr>
              <w:spacing w:before="0"/>
              <w:jc w:val="center"/>
              <w:rPr>
                <w:sz w:val="18"/>
                <w:szCs w:val="18"/>
              </w:rPr>
            </w:pPr>
            <w:r w:rsidRPr="008A3E8A">
              <w:rPr>
                <w:sz w:val="18"/>
                <w:szCs w:val="18"/>
              </w:rPr>
              <w:t>16</w:t>
            </w:r>
          </w:p>
        </w:tc>
        <w:tc>
          <w:tcPr>
            <w:tcW w:w="763" w:type="pct"/>
            <w:vAlign w:val="center"/>
          </w:tcPr>
          <w:p w:rsidR="00FC10F0" w:rsidRPr="008A3E8A" w:rsidRDefault="00FC10F0" w:rsidP="00FC10F0">
            <w:pPr>
              <w:spacing w:before="0"/>
              <w:jc w:val="center"/>
              <w:rPr>
                <w:sz w:val="18"/>
                <w:szCs w:val="18"/>
              </w:rPr>
            </w:pPr>
            <w:r w:rsidRPr="008A3E8A">
              <w:rPr>
                <w:sz w:val="18"/>
                <w:szCs w:val="18"/>
              </w:rPr>
              <w:t>1</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236"/>
          <w:jc w:val="center"/>
        </w:trPr>
        <w:tc>
          <w:tcPr>
            <w:tcW w:w="973" w:type="pct"/>
            <w:vMerge/>
            <w:vAlign w:val="center"/>
          </w:tcPr>
          <w:p w:rsidR="00FC10F0" w:rsidRPr="0072532C" w:rsidRDefault="00FC10F0" w:rsidP="00FC10F0">
            <w:pPr>
              <w:spacing w:before="0"/>
              <w:jc w:val="center"/>
              <w:rPr>
                <w:sz w:val="18"/>
                <w:szCs w:val="18"/>
              </w:rPr>
            </w:pPr>
          </w:p>
        </w:tc>
        <w:tc>
          <w:tcPr>
            <w:tcW w:w="1300" w:type="pct"/>
            <w:gridSpan w:val="2"/>
            <w:vAlign w:val="center"/>
          </w:tcPr>
          <w:p w:rsidR="00FC10F0" w:rsidRPr="0072532C" w:rsidRDefault="00FC10F0" w:rsidP="00FC10F0">
            <w:pPr>
              <w:spacing w:before="0"/>
              <w:jc w:val="center"/>
              <w:rPr>
                <w:sz w:val="18"/>
                <w:szCs w:val="18"/>
              </w:rPr>
            </w:pPr>
            <w:r w:rsidRPr="0072532C">
              <w:rPr>
                <w:sz w:val="18"/>
                <w:szCs w:val="18"/>
              </w:rPr>
              <w:t>Patinoires</w:t>
            </w:r>
          </w:p>
        </w:tc>
        <w:tc>
          <w:tcPr>
            <w:tcW w:w="1067" w:type="pct"/>
            <w:vAlign w:val="center"/>
          </w:tcPr>
          <w:p w:rsidR="00FC10F0" w:rsidRPr="008A3E8A" w:rsidRDefault="00FC10F0" w:rsidP="00FC10F0">
            <w:pPr>
              <w:spacing w:before="0"/>
              <w:jc w:val="center"/>
              <w:rPr>
                <w:sz w:val="18"/>
                <w:szCs w:val="18"/>
              </w:rPr>
            </w:pPr>
            <w:r w:rsidRPr="008A3E8A">
              <w:rPr>
                <w:sz w:val="18"/>
                <w:szCs w:val="18"/>
              </w:rPr>
              <w:t>1</w:t>
            </w:r>
            <w:r w:rsidR="009F1011">
              <w:rPr>
                <w:sz w:val="18"/>
                <w:szCs w:val="18"/>
              </w:rPr>
              <w:t>5</w:t>
            </w:r>
          </w:p>
        </w:tc>
        <w:tc>
          <w:tcPr>
            <w:tcW w:w="763" w:type="pct"/>
            <w:vAlign w:val="center"/>
          </w:tcPr>
          <w:p w:rsidR="00FC10F0" w:rsidRPr="008A3E8A" w:rsidRDefault="00FC10F0" w:rsidP="00FC10F0">
            <w:pPr>
              <w:spacing w:before="0"/>
              <w:jc w:val="center"/>
              <w:rPr>
                <w:sz w:val="18"/>
                <w:szCs w:val="18"/>
              </w:rPr>
            </w:pPr>
            <w:r w:rsidRPr="008A3E8A">
              <w:rPr>
                <w:sz w:val="18"/>
                <w:szCs w:val="18"/>
              </w:rPr>
              <w:t>0,</w:t>
            </w:r>
            <w:r>
              <w:rPr>
                <w:sz w:val="18"/>
                <w:szCs w:val="18"/>
              </w:rPr>
              <w:t>5</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268"/>
          <w:jc w:val="center"/>
        </w:trPr>
        <w:tc>
          <w:tcPr>
            <w:tcW w:w="973" w:type="pct"/>
            <w:vMerge w:val="restart"/>
            <w:vAlign w:val="center"/>
          </w:tcPr>
          <w:p w:rsidR="00FC10F0" w:rsidRPr="0072532C" w:rsidRDefault="00FC10F0" w:rsidP="00FC10F0">
            <w:pPr>
              <w:spacing w:before="0"/>
              <w:jc w:val="center"/>
              <w:rPr>
                <w:b/>
                <w:sz w:val="18"/>
                <w:szCs w:val="18"/>
              </w:rPr>
            </w:pPr>
            <w:r w:rsidRPr="0072532C">
              <w:rPr>
                <w:b/>
                <w:sz w:val="18"/>
                <w:szCs w:val="18"/>
              </w:rPr>
              <w:t>Climatisation à Air</w:t>
            </w:r>
          </w:p>
        </w:tc>
        <w:tc>
          <w:tcPr>
            <w:tcW w:w="1300" w:type="pct"/>
            <w:gridSpan w:val="2"/>
            <w:vAlign w:val="center"/>
          </w:tcPr>
          <w:p w:rsidR="00FC10F0" w:rsidRPr="0072532C" w:rsidRDefault="00FC10F0" w:rsidP="00FC10F0">
            <w:pPr>
              <w:spacing w:before="0"/>
              <w:jc w:val="center"/>
              <w:rPr>
                <w:sz w:val="18"/>
                <w:szCs w:val="18"/>
              </w:rPr>
            </w:pPr>
            <w:r w:rsidRPr="0072532C">
              <w:rPr>
                <w:sz w:val="18"/>
                <w:szCs w:val="18"/>
              </w:rPr>
              <w:t>Mobile</w:t>
            </w:r>
          </w:p>
        </w:tc>
        <w:tc>
          <w:tcPr>
            <w:tcW w:w="1067" w:type="pct"/>
            <w:vAlign w:val="center"/>
          </w:tcPr>
          <w:p w:rsidR="00FC10F0" w:rsidRPr="008A3E8A" w:rsidRDefault="00FC10F0" w:rsidP="00FC10F0">
            <w:pPr>
              <w:spacing w:before="0"/>
              <w:jc w:val="center"/>
              <w:rPr>
                <w:sz w:val="18"/>
                <w:szCs w:val="18"/>
              </w:rPr>
            </w:pPr>
            <w:r w:rsidRPr="008A3E8A">
              <w:rPr>
                <w:sz w:val="18"/>
                <w:szCs w:val="18"/>
              </w:rPr>
              <w:t>2</w:t>
            </w:r>
          </w:p>
        </w:tc>
        <w:tc>
          <w:tcPr>
            <w:tcW w:w="763" w:type="pct"/>
            <w:vAlign w:val="center"/>
          </w:tcPr>
          <w:p w:rsidR="00FC10F0" w:rsidRPr="008A3E8A" w:rsidRDefault="00FC10F0" w:rsidP="00FC10F0">
            <w:pPr>
              <w:spacing w:before="0"/>
              <w:jc w:val="center"/>
              <w:rPr>
                <w:sz w:val="18"/>
                <w:szCs w:val="18"/>
              </w:rPr>
            </w:pPr>
            <w:r w:rsidRPr="008A3E8A">
              <w:rPr>
                <w:sz w:val="18"/>
                <w:szCs w:val="18"/>
              </w:rPr>
              <w:t>0</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51"/>
          <w:jc w:val="center"/>
        </w:trPr>
        <w:tc>
          <w:tcPr>
            <w:tcW w:w="973" w:type="pct"/>
            <w:vMerge/>
            <w:vAlign w:val="center"/>
          </w:tcPr>
          <w:p w:rsidR="00FC10F0" w:rsidRPr="0072532C" w:rsidRDefault="00FC10F0" w:rsidP="00FC10F0">
            <w:pPr>
              <w:spacing w:before="0"/>
              <w:jc w:val="center"/>
              <w:rPr>
                <w:sz w:val="18"/>
                <w:szCs w:val="18"/>
              </w:rPr>
            </w:pPr>
          </w:p>
        </w:tc>
        <w:tc>
          <w:tcPr>
            <w:tcW w:w="1300" w:type="pct"/>
            <w:gridSpan w:val="2"/>
            <w:vAlign w:val="center"/>
          </w:tcPr>
          <w:p w:rsidR="00FC10F0" w:rsidRPr="0072532C" w:rsidRDefault="00FC10F0" w:rsidP="00FC10F0">
            <w:pPr>
              <w:spacing w:before="0"/>
              <w:jc w:val="center"/>
              <w:rPr>
                <w:sz w:val="18"/>
                <w:szCs w:val="18"/>
              </w:rPr>
            </w:pPr>
            <w:r w:rsidRPr="0072532C">
              <w:rPr>
                <w:sz w:val="18"/>
                <w:szCs w:val="18"/>
              </w:rPr>
              <w:t>Rooftop</w:t>
            </w:r>
            <w:r w:rsidR="009F1011">
              <w:rPr>
                <w:sz w:val="18"/>
                <w:szCs w:val="18"/>
              </w:rPr>
              <w:t>s</w:t>
            </w:r>
          </w:p>
        </w:tc>
        <w:tc>
          <w:tcPr>
            <w:tcW w:w="1067" w:type="pct"/>
            <w:vAlign w:val="center"/>
          </w:tcPr>
          <w:p w:rsidR="00FC10F0" w:rsidRPr="008A3E8A" w:rsidRDefault="00FC10F0" w:rsidP="00FC10F0">
            <w:pPr>
              <w:spacing w:before="0"/>
              <w:jc w:val="center"/>
              <w:rPr>
                <w:sz w:val="18"/>
                <w:szCs w:val="18"/>
              </w:rPr>
            </w:pPr>
            <w:r w:rsidRPr="008A3E8A">
              <w:rPr>
                <w:sz w:val="18"/>
                <w:szCs w:val="18"/>
              </w:rPr>
              <w:t>10</w:t>
            </w:r>
          </w:p>
        </w:tc>
        <w:tc>
          <w:tcPr>
            <w:tcW w:w="763" w:type="pct"/>
            <w:vAlign w:val="center"/>
          </w:tcPr>
          <w:p w:rsidR="00FC10F0" w:rsidRPr="008A3E8A" w:rsidRDefault="00FC10F0" w:rsidP="00FC10F0">
            <w:pPr>
              <w:spacing w:before="0"/>
              <w:jc w:val="center"/>
              <w:rPr>
                <w:sz w:val="18"/>
                <w:szCs w:val="18"/>
              </w:rPr>
            </w:pPr>
            <w:r w:rsidRPr="008A3E8A">
              <w:rPr>
                <w:sz w:val="18"/>
                <w:szCs w:val="18"/>
              </w:rPr>
              <w:t>1</w:t>
            </w:r>
            <w:r>
              <w:rPr>
                <w:sz w:val="18"/>
                <w:szCs w:val="18"/>
              </w:rPr>
              <w:t>7</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332"/>
          <w:jc w:val="center"/>
        </w:trPr>
        <w:tc>
          <w:tcPr>
            <w:tcW w:w="973" w:type="pct"/>
            <w:vMerge/>
            <w:vAlign w:val="center"/>
          </w:tcPr>
          <w:p w:rsidR="00FC10F0" w:rsidRPr="0072532C" w:rsidRDefault="00FC10F0" w:rsidP="00FC10F0">
            <w:pPr>
              <w:spacing w:before="0"/>
              <w:jc w:val="center"/>
              <w:rPr>
                <w:sz w:val="18"/>
                <w:szCs w:val="18"/>
              </w:rPr>
            </w:pPr>
          </w:p>
        </w:tc>
        <w:tc>
          <w:tcPr>
            <w:tcW w:w="1300" w:type="pct"/>
            <w:gridSpan w:val="2"/>
            <w:vAlign w:val="center"/>
          </w:tcPr>
          <w:p w:rsidR="00FC10F0" w:rsidRPr="0072532C" w:rsidRDefault="00FC10F0" w:rsidP="00FC10F0">
            <w:pPr>
              <w:spacing w:before="0"/>
              <w:jc w:val="center"/>
              <w:rPr>
                <w:sz w:val="18"/>
                <w:szCs w:val="18"/>
              </w:rPr>
            </w:pPr>
            <w:r w:rsidRPr="0072532C">
              <w:rPr>
                <w:sz w:val="18"/>
                <w:szCs w:val="18"/>
              </w:rPr>
              <w:t xml:space="preserve">Splits </w:t>
            </w:r>
          </w:p>
        </w:tc>
        <w:tc>
          <w:tcPr>
            <w:tcW w:w="1067" w:type="pct"/>
            <w:vAlign w:val="center"/>
          </w:tcPr>
          <w:p w:rsidR="00FC10F0" w:rsidRPr="008A3E8A" w:rsidRDefault="009F1011" w:rsidP="00FC10F0">
            <w:pPr>
              <w:spacing w:before="0"/>
              <w:jc w:val="center"/>
              <w:rPr>
                <w:sz w:val="18"/>
                <w:szCs w:val="18"/>
              </w:rPr>
            </w:pPr>
            <w:r>
              <w:rPr>
                <w:sz w:val="18"/>
                <w:szCs w:val="18"/>
              </w:rPr>
              <w:t>9</w:t>
            </w:r>
          </w:p>
        </w:tc>
        <w:tc>
          <w:tcPr>
            <w:tcW w:w="763" w:type="pct"/>
            <w:vAlign w:val="center"/>
          </w:tcPr>
          <w:p w:rsidR="00FC10F0" w:rsidRPr="008A3E8A" w:rsidRDefault="00FC10F0" w:rsidP="00FC10F0">
            <w:pPr>
              <w:spacing w:before="0"/>
              <w:jc w:val="center"/>
              <w:rPr>
                <w:sz w:val="18"/>
                <w:szCs w:val="18"/>
              </w:rPr>
            </w:pPr>
            <w:r w:rsidRPr="008A3E8A">
              <w:rPr>
                <w:sz w:val="18"/>
                <w:szCs w:val="18"/>
              </w:rPr>
              <w:t>0</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51"/>
          <w:jc w:val="center"/>
        </w:trPr>
        <w:tc>
          <w:tcPr>
            <w:tcW w:w="973" w:type="pct"/>
            <w:vMerge/>
            <w:vAlign w:val="center"/>
          </w:tcPr>
          <w:p w:rsidR="00FC10F0" w:rsidRPr="0072532C" w:rsidRDefault="00FC10F0" w:rsidP="00FC10F0">
            <w:pPr>
              <w:spacing w:before="0"/>
              <w:jc w:val="center"/>
              <w:rPr>
                <w:sz w:val="18"/>
                <w:szCs w:val="18"/>
              </w:rPr>
            </w:pPr>
          </w:p>
        </w:tc>
        <w:tc>
          <w:tcPr>
            <w:tcW w:w="1300" w:type="pct"/>
            <w:gridSpan w:val="2"/>
            <w:vAlign w:val="center"/>
          </w:tcPr>
          <w:p w:rsidR="00FC10F0" w:rsidRPr="0072532C" w:rsidRDefault="00FC10F0" w:rsidP="00FC10F0">
            <w:pPr>
              <w:spacing w:before="0"/>
              <w:jc w:val="center"/>
              <w:rPr>
                <w:sz w:val="18"/>
                <w:szCs w:val="18"/>
              </w:rPr>
            </w:pPr>
            <w:r w:rsidRPr="0072532C">
              <w:rPr>
                <w:sz w:val="18"/>
                <w:szCs w:val="18"/>
              </w:rPr>
              <w:t>Multiplits</w:t>
            </w:r>
          </w:p>
        </w:tc>
        <w:tc>
          <w:tcPr>
            <w:tcW w:w="1067" w:type="pct"/>
            <w:vAlign w:val="center"/>
          </w:tcPr>
          <w:p w:rsidR="00FC10F0" w:rsidRPr="008A3E8A" w:rsidRDefault="00FC10F0" w:rsidP="00FC10F0">
            <w:pPr>
              <w:spacing w:before="0"/>
              <w:jc w:val="center"/>
              <w:rPr>
                <w:sz w:val="18"/>
                <w:szCs w:val="18"/>
              </w:rPr>
            </w:pPr>
            <w:r w:rsidRPr="008A3E8A">
              <w:rPr>
                <w:sz w:val="18"/>
                <w:szCs w:val="18"/>
              </w:rPr>
              <w:t>11</w:t>
            </w:r>
          </w:p>
        </w:tc>
        <w:tc>
          <w:tcPr>
            <w:tcW w:w="763" w:type="pct"/>
            <w:vAlign w:val="center"/>
          </w:tcPr>
          <w:p w:rsidR="00FC10F0" w:rsidRPr="008A3E8A" w:rsidRDefault="00FC10F0" w:rsidP="00FC10F0">
            <w:pPr>
              <w:spacing w:before="0"/>
              <w:jc w:val="center"/>
              <w:rPr>
                <w:sz w:val="18"/>
                <w:szCs w:val="18"/>
              </w:rPr>
            </w:pPr>
            <w:r w:rsidRPr="008A3E8A">
              <w:rPr>
                <w:sz w:val="18"/>
                <w:szCs w:val="18"/>
              </w:rPr>
              <w:t>0</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51"/>
          <w:jc w:val="center"/>
        </w:trPr>
        <w:tc>
          <w:tcPr>
            <w:tcW w:w="973" w:type="pct"/>
            <w:vMerge/>
            <w:vAlign w:val="center"/>
          </w:tcPr>
          <w:p w:rsidR="00FC10F0" w:rsidRPr="0072532C" w:rsidRDefault="00FC10F0" w:rsidP="00FC10F0">
            <w:pPr>
              <w:spacing w:before="0"/>
              <w:jc w:val="center"/>
              <w:rPr>
                <w:sz w:val="18"/>
                <w:szCs w:val="18"/>
              </w:rPr>
            </w:pPr>
          </w:p>
        </w:tc>
        <w:tc>
          <w:tcPr>
            <w:tcW w:w="1300" w:type="pct"/>
            <w:gridSpan w:val="2"/>
            <w:vAlign w:val="center"/>
          </w:tcPr>
          <w:p w:rsidR="00FC10F0" w:rsidRPr="0072532C" w:rsidRDefault="00FC10F0" w:rsidP="00FC10F0">
            <w:pPr>
              <w:spacing w:before="0"/>
              <w:jc w:val="center"/>
              <w:rPr>
                <w:sz w:val="18"/>
                <w:szCs w:val="18"/>
              </w:rPr>
            </w:pPr>
            <w:r w:rsidRPr="0072532C">
              <w:rPr>
                <w:sz w:val="18"/>
                <w:szCs w:val="18"/>
              </w:rPr>
              <w:t>Window</w:t>
            </w:r>
            <w:r w:rsidR="009F1011">
              <w:rPr>
                <w:sz w:val="18"/>
                <w:szCs w:val="18"/>
              </w:rPr>
              <w:t>s</w:t>
            </w:r>
          </w:p>
        </w:tc>
        <w:tc>
          <w:tcPr>
            <w:tcW w:w="1067" w:type="pct"/>
            <w:vAlign w:val="center"/>
          </w:tcPr>
          <w:p w:rsidR="00FC10F0" w:rsidRPr="008A3E8A" w:rsidRDefault="00FC10F0" w:rsidP="00FC10F0">
            <w:pPr>
              <w:spacing w:before="0"/>
              <w:jc w:val="center"/>
              <w:rPr>
                <w:sz w:val="18"/>
                <w:szCs w:val="18"/>
              </w:rPr>
            </w:pPr>
            <w:r w:rsidRPr="008A3E8A">
              <w:rPr>
                <w:sz w:val="18"/>
                <w:szCs w:val="18"/>
              </w:rPr>
              <w:t>2</w:t>
            </w:r>
          </w:p>
        </w:tc>
        <w:tc>
          <w:tcPr>
            <w:tcW w:w="763" w:type="pct"/>
            <w:vAlign w:val="center"/>
          </w:tcPr>
          <w:p w:rsidR="00FC10F0" w:rsidRPr="008A3E8A" w:rsidRDefault="00FC10F0" w:rsidP="00FC10F0">
            <w:pPr>
              <w:spacing w:before="0"/>
              <w:jc w:val="center"/>
              <w:rPr>
                <w:sz w:val="18"/>
                <w:szCs w:val="18"/>
              </w:rPr>
            </w:pPr>
            <w:r w:rsidRPr="008A3E8A">
              <w:rPr>
                <w:sz w:val="18"/>
                <w:szCs w:val="18"/>
              </w:rPr>
              <w:t>0</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51"/>
          <w:jc w:val="center"/>
        </w:trPr>
        <w:tc>
          <w:tcPr>
            <w:tcW w:w="973" w:type="pct"/>
            <w:vMerge/>
            <w:vAlign w:val="center"/>
          </w:tcPr>
          <w:p w:rsidR="00FC10F0" w:rsidRPr="0072532C" w:rsidRDefault="00FC10F0" w:rsidP="00FC10F0">
            <w:pPr>
              <w:spacing w:before="0"/>
              <w:jc w:val="center"/>
              <w:rPr>
                <w:sz w:val="18"/>
                <w:szCs w:val="18"/>
              </w:rPr>
            </w:pPr>
          </w:p>
        </w:tc>
        <w:tc>
          <w:tcPr>
            <w:tcW w:w="1300" w:type="pct"/>
            <w:gridSpan w:val="2"/>
            <w:vAlign w:val="center"/>
          </w:tcPr>
          <w:p w:rsidR="00FC10F0" w:rsidRPr="0072532C" w:rsidRDefault="00FC10F0" w:rsidP="00FC10F0">
            <w:pPr>
              <w:spacing w:before="0"/>
              <w:jc w:val="center"/>
              <w:rPr>
                <w:sz w:val="18"/>
                <w:szCs w:val="18"/>
              </w:rPr>
            </w:pPr>
            <w:r w:rsidRPr="0072532C">
              <w:rPr>
                <w:sz w:val="18"/>
                <w:szCs w:val="18"/>
              </w:rPr>
              <w:t>Central AC</w:t>
            </w:r>
          </w:p>
        </w:tc>
        <w:tc>
          <w:tcPr>
            <w:tcW w:w="1067" w:type="pct"/>
            <w:vAlign w:val="center"/>
          </w:tcPr>
          <w:p w:rsidR="00FC10F0" w:rsidRPr="008A3E8A" w:rsidRDefault="00FC10F0" w:rsidP="00FC10F0">
            <w:pPr>
              <w:spacing w:before="0"/>
              <w:jc w:val="center"/>
              <w:rPr>
                <w:sz w:val="18"/>
                <w:szCs w:val="18"/>
              </w:rPr>
            </w:pPr>
            <w:r w:rsidRPr="008A3E8A">
              <w:rPr>
                <w:sz w:val="18"/>
                <w:szCs w:val="18"/>
              </w:rPr>
              <w:t>10</w:t>
            </w:r>
          </w:p>
        </w:tc>
        <w:tc>
          <w:tcPr>
            <w:tcW w:w="763" w:type="pct"/>
            <w:vAlign w:val="center"/>
          </w:tcPr>
          <w:p w:rsidR="00FC10F0" w:rsidRPr="008A3E8A" w:rsidRDefault="00FC10F0" w:rsidP="00FC10F0">
            <w:pPr>
              <w:spacing w:before="0"/>
              <w:jc w:val="center"/>
              <w:rPr>
                <w:sz w:val="18"/>
                <w:szCs w:val="18"/>
              </w:rPr>
            </w:pPr>
            <w:r w:rsidRPr="008A3E8A">
              <w:rPr>
                <w:sz w:val="18"/>
                <w:szCs w:val="18"/>
              </w:rPr>
              <w:t>13</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504"/>
          <w:jc w:val="center"/>
        </w:trPr>
        <w:tc>
          <w:tcPr>
            <w:tcW w:w="973" w:type="pct"/>
            <w:vMerge w:val="restart"/>
            <w:vAlign w:val="center"/>
          </w:tcPr>
          <w:p w:rsidR="00FC10F0" w:rsidRPr="00795158" w:rsidRDefault="00FC10F0" w:rsidP="00FC10F0">
            <w:pPr>
              <w:spacing w:before="0"/>
              <w:jc w:val="center"/>
              <w:rPr>
                <w:b/>
                <w:sz w:val="18"/>
                <w:szCs w:val="18"/>
                <w:lang w:val="fr-FR"/>
              </w:rPr>
            </w:pPr>
            <w:r w:rsidRPr="00795158">
              <w:rPr>
                <w:b/>
                <w:sz w:val="18"/>
                <w:szCs w:val="18"/>
                <w:lang w:val="fr-FR"/>
              </w:rPr>
              <w:t>GRE (Groupes Refroidisseurs d’Eau) Volumétriques</w:t>
            </w:r>
          </w:p>
        </w:tc>
        <w:tc>
          <w:tcPr>
            <w:tcW w:w="1300" w:type="pct"/>
            <w:gridSpan w:val="2"/>
            <w:vAlign w:val="center"/>
          </w:tcPr>
          <w:p w:rsidR="00FC10F0" w:rsidRPr="0072532C" w:rsidRDefault="00FC10F0" w:rsidP="00FC10F0">
            <w:pPr>
              <w:spacing w:before="0"/>
              <w:jc w:val="center"/>
              <w:rPr>
                <w:sz w:val="18"/>
                <w:szCs w:val="18"/>
              </w:rPr>
            </w:pPr>
            <w:r>
              <w:rPr>
                <w:sz w:val="18"/>
                <w:szCs w:val="18"/>
              </w:rPr>
              <w:t>Faibles Puiss</w:t>
            </w:r>
            <w:r w:rsidR="009F1011">
              <w:rPr>
                <w:sz w:val="18"/>
                <w:szCs w:val="18"/>
              </w:rPr>
              <w:t>ances</w:t>
            </w:r>
          </w:p>
        </w:tc>
        <w:tc>
          <w:tcPr>
            <w:tcW w:w="1067" w:type="pct"/>
            <w:vAlign w:val="center"/>
          </w:tcPr>
          <w:p w:rsidR="00FC10F0" w:rsidRPr="008A3E8A" w:rsidRDefault="00FC10F0" w:rsidP="00FC10F0">
            <w:pPr>
              <w:spacing w:before="0"/>
              <w:jc w:val="center"/>
              <w:rPr>
                <w:sz w:val="18"/>
                <w:szCs w:val="18"/>
              </w:rPr>
            </w:pPr>
            <w:r w:rsidRPr="008A3E8A">
              <w:rPr>
                <w:sz w:val="18"/>
                <w:szCs w:val="18"/>
              </w:rPr>
              <w:t>11</w:t>
            </w:r>
          </w:p>
        </w:tc>
        <w:tc>
          <w:tcPr>
            <w:tcW w:w="763" w:type="pct"/>
            <w:vAlign w:val="center"/>
          </w:tcPr>
          <w:p w:rsidR="00FC10F0" w:rsidRPr="008A3E8A" w:rsidRDefault="00FC10F0" w:rsidP="00FC10F0">
            <w:pPr>
              <w:spacing w:before="0"/>
              <w:jc w:val="center"/>
              <w:rPr>
                <w:sz w:val="18"/>
                <w:szCs w:val="18"/>
              </w:rPr>
            </w:pPr>
            <w:r w:rsidRPr="008A3E8A">
              <w:rPr>
                <w:sz w:val="18"/>
                <w:szCs w:val="18"/>
              </w:rPr>
              <w:t>8</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72532C" w:rsidTr="00F9187E">
        <w:trPr>
          <w:trHeight w:val="424"/>
          <w:jc w:val="center"/>
        </w:trPr>
        <w:tc>
          <w:tcPr>
            <w:tcW w:w="973" w:type="pct"/>
            <w:vMerge/>
            <w:vAlign w:val="center"/>
          </w:tcPr>
          <w:p w:rsidR="00FC10F0" w:rsidRPr="0072532C" w:rsidRDefault="00FC10F0" w:rsidP="00FC10F0">
            <w:pPr>
              <w:spacing w:before="0"/>
              <w:jc w:val="center"/>
              <w:rPr>
                <w:b/>
                <w:sz w:val="18"/>
                <w:szCs w:val="18"/>
              </w:rPr>
            </w:pPr>
          </w:p>
        </w:tc>
        <w:tc>
          <w:tcPr>
            <w:tcW w:w="1300" w:type="pct"/>
            <w:gridSpan w:val="2"/>
            <w:vAlign w:val="center"/>
          </w:tcPr>
          <w:p w:rsidR="00FC10F0" w:rsidRPr="00284BD6" w:rsidRDefault="00FC10F0" w:rsidP="009F1011">
            <w:pPr>
              <w:spacing w:before="0"/>
              <w:jc w:val="center"/>
              <w:rPr>
                <w:sz w:val="18"/>
                <w:szCs w:val="18"/>
              </w:rPr>
            </w:pPr>
            <w:r w:rsidRPr="00284BD6">
              <w:rPr>
                <w:sz w:val="18"/>
                <w:szCs w:val="18"/>
              </w:rPr>
              <w:t>M</w:t>
            </w:r>
            <w:r w:rsidR="009F1011">
              <w:rPr>
                <w:sz w:val="18"/>
                <w:szCs w:val="18"/>
              </w:rPr>
              <w:t>oyennes</w:t>
            </w:r>
            <w:r w:rsidRPr="00284BD6">
              <w:rPr>
                <w:sz w:val="18"/>
                <w:szCs w:val="18"/>
              </w:rPr>
              <w:t xml:space="preserve"> Puiss</w:t>
            </w:r>
            <w:r w:rsidR="009F1011">
              <w:rPr>
                <w:sz w:val="18"/>
                <w:szCs w:val="18"/>
              </w:rPr>
              <w:t>ances</w:t>
            </w:r>
          </w:p>
        </w:tc>
        <w:tc>
          <w:tcPr>
            <w:tcW w:w="1067" w:type="pct"/>
            <w:vAlign w:val="center"/>
          </w:tcPr>
          <w:p w:rsidR="00FC10F0" w:rsidRPr="008A3E8A" w:rsidRDefault="00FC10F0" w:rsidP="00FC10F0">
            <w:pPr>
              <w:spacing w:before="0"/>
              <w:jc w:val="center"/>
              <w:rPr>
                <w:sz w:val="18"/>
                <w:szCs w:val="18"/>
              </w:rPr>
            </w:pPr>
            <w:r w:rsidRPr="008A3E8A">
              <w:rPr>
                <w:sz w:val="18"/>
                <w:szCs w:val="18"/>
              </w:rPr>
              <w:t>1</w:t>
            </w:r>
            <w:r w:rsidR="009F1011">
              <w:rPr>
                <w:sz w:val="18"/>
                <w:szCs w:val="18"/>
              </w:rPr>
              <w:t>2</w:t>
            </w:r>
          </w:p>
        </w:tc>
        <w:tc>
          <w:tcPr>
            <w:tcW w:w="763" w:type="pct"/>
            <w:vAlign w:val="center"/>
          </w:tcPr>
          <w:p w:rsidR="00FC10F0" w:rsidRPr="008A3E8A" w:rsidRDefault="00FC10F0" w:rsidP="00FC10F0">
            <w:pPr>
              <w:spacing w:before="0"/>
              <w:jc w:val="center"/>
              <w:rPr>
                <w:sz w:val="18"/>
                <w:szCs w:val="18"/>
              </w:rPr>
            </w:pPr>
            <w:r w:rsidRPr="008A3E8A">
              <w:rPr>
                <w:sz w:val="18"/>
                <w:szCs w:val="18"/>
              </w:rPr>
              <w:t>8</w:t>
            </w:r>
          </w:p>
        </w:tc>
        <w:tc>
          <w:tcPr>
            <w:tcW w:w="897" w:type="pct"/>
            <w:vAlign w:val="center"/>
          </w:tcPr>
          <w:p w:rsidR="00FC10F0" w:rsidRPr="008A3E8A" w:rsidRDefault="00FC10F0" w:rsidP="00FC10F0">
            <w:pPr>
              <w:spacing w:before="0"/>
              <w:jc w:val="center"/>
              <w:rPr>
                <w:sz w:val="18"/>
                <w:szCs w:val="18"/>
              </w:rPr>
            </w:pPr>
            <w:r w:rsidRPr="008A3E8A">
              <w:rPr>
                <w:sz w:val="18"/>
                <w:szCs w:val="18"/>
              </w:rPr>
              <w:t>0</w:t>
            </w:r>
          </w:p>
        </w:tc>
      </w:tr>
      <w:tr w:rsidR="00FC10F0" w:rsidRPr="009F1011" w:rsidTr="00F9187E">
        <w:trPr>
          <w:trHeight w:val="233"/>
          <w:jc w:val="center"/>
        </w:trPr>
        <w:tc>
          <w:tcPr>
            <w:tcW w:w="973" w:type="pct"/>
            <w:vMerge w:val="restart"/>
            <w:vAlign w:val="center"/>
          </w:tcPr>
          <w:p w:rsidR="00FC10F0" w:rsidRPr="0072532C" w:rsidRDefault="00FC10F0" w:rsidP="00FC10F0">
            <w:pPr>
              <w:spacing w:before="0"/>
              <w:jc w:val="center"/>
              <w:rPr>
                <w:b/>
                <w:sz w:val="18"/>
                <w:szCs w:val="18"/>
              </w:rPr>
            </w:pPr>
            <w:r w:rsidRPr="0072532C">
              <w:rPr>
                <w:b/>
                <w:sz w:val="18"/>
                <w:szCs w:val="18"/>
              </w:rPr>
              <w:t>Climatisation embarquée</w:t>
            </w:r>
          </w:p>
        </w:tc>
        <w:tc>
          <w:tcPr>
            <w:tcW w:w="1300" w:type="pct"/>
            <w:gridSpan w:val="2"/>
            <w:vAlign w:val="center"/>
          </w:tcPr>
          <w:p w:rsidR="00FC10F0" w:rsidRPr="0072532C" w:rsidRDefault="00FC10F0" w:rsidP="00FC10F0">
            <w:pPr>
              <w:spacing w:before="0"/>
              <w:jc w:val="center"/>
              <w:rPr>
                <w:sz w:val="18"/>
                <w:szCs w:val="18"/>
              </w:rPr>
            </w:pPr>
            <w:r w:rsidRPr="0072532C">
              <w:rPr>
                <w:sz w:val="18"/>
                <w:szCs w:val="18"/>
              </w:rPr>
              <w:t>Automobile</w:t>
            </w:r>
          </w:p>
        </w:tc>
        <w:tc>
          <w:tcPr>
            <w:tcW w:w="1067" w:type="pct"/>
            <w:vAlign w:val="center"/>
          </w:tcPr>
          <w:p w:rsidR="00FC10F0" w:rsidRPr="00930BFB" w:rsidRDefault="00FC10F0" w:rsidP="00FC10F0">
            <w:pPr>
              <w:spacing w:before="0"/>
              <w:jc w:val="center"/>
              <w:rPr>
                <w:sz w:val="18"/>
                <w:szCs w:val="18"/>
              </w:rPr>
            </w:pPr>
            <w:r w:rsidRPr="00930BFB">
              <w:rPr>
                <w:sz w:val="18"/>
                <w:szCs w:val="18"/>
              </w:rPr>
              <w:t>Reg</w:t>
            </w:r>
            <w:r w:rsidR="009F1011" w:rsidRPr="00930BFB">
              <w:rPr>
                <w:sz w:val="18"/>
                <w:szCs w:val="18"/>
              </w:rPr>
              <w:t>. :</w:t>
            </w:r>
            <w:r w:rsidRPr="00930BFB">
              <w:rPr>
                <w:sz w:val="18"/>
                <w:szCs w:val="18"/>
              </w:rPr>
              <w:t xml:space="preserve"> 10 g/an</w:t>
            </w:r>
          </w:p>
          <w:p w:rsidR="00FC10F0" w:rsidRPr="00930BFB" w:rsidRDefault="00FC10F0" w:rsidP="00FC10F0">
            <w:pPr>
              <w:spacing w:before="0"/>
              <w:jc w:val="center"/>
              <w:rPr>
                <w:sz w:val="18"/>
                <w:szCs w:val="18"/>
              </w:rPr>
            </w:pPr>
            <w:r w:rsidRPr="00930BFB">
              <w:rPr>
                <w:sz w:val="18"/>
                <w:szCs w:val="18"/>
              </w:rPr>
              <w:t>Irreg</w:t>
            </w:r>
            <w:r w:rsidR="009F1011" w:rsidRPr="00930BFB">
              <w:rPr>
                <w:sz w:val="18"/>
                <w:szCs w:val="18"/>
              </w:rPr>
              <w:t>.</w:t>
            </w:r>
            <w:r w:rsidRPr="00930BFB">
              <w:rPr>
                <w:sz w:val="18"/>
                <w:szCs w:val="18"/>
              </w:rPr>
              <w:t> : 20</w:t>
            </w:r>
            <w:r w:rsidR="009F1011" w:rsidRPr="00930BFB">
              <w:rPr>
                <w:sz w:val="18"/>
                <w:szCs w:val="18"/>
              </w:rPr>
              <w:t xml:space="preserve"> </w:t>
            </w:r>
            <w:r w:rsidRPr="00930BFB">
              <w:rPr>
                <w:sz w:val="18"/>
                <w:szCs w:val="18"/>
              </w:rPr>
              <w:t>g/an</w:t>
            </w:r>
          </w:p>
        </w:tc>
        <w:tc>
          <w:tcPr>
            <w:tcW w:w="763" w:type="pct"/>
            <w:vAlign w:val="center"/>
          </w:tcPr>
          <w:p w:rsidR="00FC10F0" w:rsidRPr="009F1011" w:rsidRDefault="00FC10F0" w:rsidP="00FC10F0">
            <w:pPr>
              <w:spacing w:before="0"/>
              <w:jc w:val="center"/>
              <w:rPr>
                <w:color w:val="000000" w:themeColor="text1"/>
                <w:sz w:val="18"/>
                <w:szCs w:val="18"/>
                <w:lang w:val="fr-FR"/>
              </w:rPr>
            </w:pPr>
            <w:r w:rsidRPr="009F1011">
              <w:rPr>
                <w:color w:val="000000" w:themeColor="text1"/>
                <w:sz w:val="18"/>
                <w:szCs w:val="18"/>
                <w:lang w:val="fr-FR"/>
              </w:rPr>
              <w:t>0</w:t>
            </w:r>
          </w:p>
        </w:tc>
        <w:tc>
          <w:tcPr>
            <w:tcW w:w="897" w:type="pct"/>
            <w:vAlign w:val="center"/>
          </w:tcPr>
          <w:p w:rsidR="00FC10F0" w:rsidRPr="009F1011" w:rsidRDefault="00FC10F0" w:rsidP="00FC10F0">
            <w:pPr>
              <w:spacing w:before="0"/>
              <w:jc w:val="center"/>
              <w:rPr>
                <w:sz w:val="18"/>
                <w:szCs w:val="18"/>
                <w:lang w:val="fr-FR"/>
              </w:rPr>
            </w:pPr>
            <w:r w:rsidRPr="009F1011">
              <w:rPr>
                <w:sz w:val="18"/>
                <w:szCs w:val="18"/>
                <w:lang w:val="fr-FR"/>
              </w:rPr>
              <w:t>0</w:t>
            </w:r>
          </w:p>
        </w:tc>
      </w:tr>
      <w:tr w:rsidR="00FC10F0" w:rsidRPr="009F1011" w:rsidTr="00F9187E">
        <w:trPr>
          <w:trHeight w:val="232"/>
          <w:jc w:val="center"/>
        </w:trPr>
        <w:tc>
          <w:tcPr>
            <w:tcW w:w="973" w:type="pct"/>
            <w:vMerge/>
            <w:vAlign w:val="center"/>
          </w:tcPr>
          <w:p w:rsidR="00FC10F0" w:rsidRPr="009F1011" w:rsidRDefault="00FC10F0" w:rsidP="00FC10F0">
            <w:pPr>
              <w:spacing w:before="0"/>
              <w:jc w:val="center"/>
              <w:rPr>
                <w:sz w:val="18"/>
                <w:szCs w:val="18"/>
                <w:lang w:val="fr-FR"/>
              </w:rPr>
            </w:pPr>
          </w:p>
        </w:tc>
        <w:tc>
          <w:tcPr>
            <w:tcW w:w="1300" w:type="pct"/>
            <w:gridSpan w:val="2"/>
            <w:vAlign w:val="center"/>
          </w:tcPr>
          <w:p w:rsidR="00FC10F0" w:rsidRPr="009F1011" w:rsidRDefault="00FC10F0" w:rsidP="00FC10F0">
            <w:pPr>
              <w:spacing w:before="0"/>
              <w:jc w:val="center"/>
              <w:rPr>
                <w:sz w:val="18"/>
                <w:szCs w:val="18"/>
                <w:lang w:val="fr-FR"/>
              </w:rPr>
            </w:pPr>
            <w:r w:rsidRPr="009F1011">
              <w:rPr>
                <w:sz w:val="18"/>
                <w:szCs w:val="18"/>
                <w:lang w:val="fr-FR"/>
              </w:rPr>
              <w:t>Bus et cars</w:t>
            </w:r>
          </w:p>
        </w:tc>
        <w:tc>
          <w:tcPr>
            <w:tcW w:w="1067" w:type="pct"/>
            <w:vAlign w:val="center"/>
          </w:tcPr>
          <w:p w:rsidR="00FC10F0" w:rsidRPr="009F1011" w:rsidRDefault="00FC10F0" w:rsidP="00FC10F0">
            <w:pPr>
              <w:spacing w:before="0"/>
              <w:jc w:val="center"/>
              <w:rPr>
                <w:sz w:val="18"/>
                <w:szCs w:val="18"/>
                <w:lang w:val="fr-FR"/>
              </w:rPr>
            </w:pPr>
            <w:r w:rsidRPr="009F1011">
              <w:rPr>
                <w:sz w:val="18"/>
                <w:szCs w:val="18"/>
                <w:lang w:val="fr-FR"/>
              </w:rPr>
              <w:t>38 %</w:t>
            </w:r>
          </w:p>
        </w:tc>
        <w:tc>
          <w:tcPr>
            <w:tcW w:w="763" w:type="pct"/>
            <w:vAlign w:val="center"/>
          </w:tcPr>
          <w:p w:rsidR="00FC10F0" w:rsidRPr="009F1011" w:rsidRDefault="00FC10F0" w:rsidP="00FC10F0">
            <w:pPr>
              <w:spacing w:before="0"/>
              <w:jc w:val="center"/>
              <w:rPr>
                <w:color w:val="000000" w:themeColor="text1"/>
                <w:sz w:val="18"/>
                <w:szCs w:val="18"/>
                <w:lang w:val="fr-FR"/>
              </w:rPr>
            </w:pPr>
            <w:r w:rsidRPr="009F1011">
              <w:rPr>
                <w:color w:val="000000" w:themeColor="text1"/>
                <w:sz w:val="18"/>
                <w:szCs w:val="18"/>
                <w:lang w:val="fr-FR"/>
              </w:rPr>
              <w:t>0</w:t>
            </w:r>
          </w:p>
        </w:tc>
        <w:tc>
          <w:tcPr>
            <w:tcW w:w="897" w:type="pct"/>
            <w:vAlign w:val="center"/>
          </w:tcPr>
          <w:p w:rsidR="00FC10F0" w:rsidRPr="009F1011" w:rsidRDefault="00FC10F0" w:rsidP="00FC10F0">
            <w:pPr>
              <w:spacing w:before="0"/>
              <w:jc w:val="center"/>
              <w:rPr>
                <w:sz w:val="18"/>
                <w:szCs w:val="18"/>
                <w:lang w:val="fr-FR"/>
              </w:rPr>
            </w:pPr>
            <w:r w:rsidRPr="009F1011">
              <w:rPr>
                <w:sz w:val="18"/>
                <w:szCs w:val="18"/>
                <w:lang w:val="fr-FR"/>
              </w:rPr>
              <w:t>0</w:t>
            </w:r>
          </w:p>
        </w:tc>
      </w:tr>
      <w:tr w:rsidR="00FC10F0" w:rsidRPr="009F1011" w:rsidTr="00F9187E">
        <w:trPr>
          <w:trHeight w:val="232"/>
          <w:jc w:val="center"/>
        </w:trPr>
        <w:tc>
          <w:tcPr>
            <w:tcW w:w="973" w:type="pct"/>
            <w:vMerge/>
            <w:vAlign w:val="center"/>
          </w:tcPr>
          <w:p w:rsidR="00FC10F0" w:rsidRPr="009F1011" w:rsidRDefault="00FC10F0" w:rsidP="00FC10F0">
            <w:pPr>
              <w:spacing w:before="0"/>
              <w:jc w:val="center"/>
              <w:rPr>
                <w:sz w:val="18"/>
                <w:szCs w:val="18"/>
                <w:lang w:val="fr-FR"/>
              </w:rPr>
            </w:pPr>
          </w:p>
        </w:tc>
        <w:tc>
          <w:tcPr>
            <w:tcW w:w="1300" w:type="pct"/>
            <w:gridSpan w:val="2"/>
            <w:vAlign w:val="center"/>
          </w:tcPr>
          <w:p w:rsidR="00FC10F0" w:rsidRPr="009F1011" w:rsidRDefault="00FC10F0" w:rsidP="00FC10F0">
            <w:pPr>
              <w:spacing w:before="0"/>
              <w:jc w:val="center"/>
              <w:rPr>
                <w:sz w:val="18"/>
                <w:szCs w:val="18"/>
                <w:lang w:val="fr-FR"/>
              </w:rPr>
            </w:pPr>
            <w:r w:rsidRPr="009F1011">
              <w:rPr>
                <w:sz w:val="18"/>
                <w:szCs w:val="18"/>
                <w:lang w:val="fr-FR"/>
              </w:rPr>
              <w:t>Véhicules industriels</w:t>
            </w:r>
          </w:p>
        </w:tc>
        <w:tc>
          <w:tcPr>
            <w:tcW w:w="1067" w:type="pct"/>
            <w:vAlign w:val="center"/>
          </w:tcPr>
          <w:p w:rsidR="00FC10F0" w:rsidRPr="00930BFB" w:rsidRDefault="00FC10F0" w:rsidP="00FC10F0">
            <w:pPr>
              <w:spacing w:before="0"/>
              <w:jc w:val="center"/>
              <w:rPr>
                <w:sz w:val="18"/>
                <w:szCs w:val="18"/>
              </w:rPr>
            </w:pPr>
            <w:r w:rsidRPr="00930BFB">
              <w:rPr>
                <w:sz w:val="18"/>
                <w:szCs w:val="18"/>
              </w:rPr>
              <w:t>Reg</w:t>
            </w:r>
            <w:r w:rsidR="009F1011" w:rsidRPr="00930BFB">
              <w:rPr>
                <w:sz w:val="18"/>
                <w:szCs w:val="18"/>
              </w:rPr>
              <w:t>. :</w:t>
            </w:r>
            <w:r w:rsidRPr="00930BFB">
              <w:rPr>
                <w:sz w:val="18"/>
                <w:szCs w:val="18"/>
              </w:rPr>
              <w:t xml:space="preserve"> 10 g/an</w:t>
            </w:r>
          </w:p>
          <w:p w:rsidR="00FC10F0" w:rsidRPr="00930BFB" w:rsidRDefault="00FC10F0" w:rsidP="00FC10F0">
            <w:pPr>
              <w:spacing w:before="0"/>
              <w:jc w:val="center"/>
              <w:rPr>
                <w:sz w:val="18"/>
                <w:szCs w:val="18"/>
              </w:rPr>
            </w:pPr>
            <w:r w:rsidRPr="00930BFB">
              <w:rPr>
                <w:sz w:val="18"/>
                <w:szCs w:val="18"/>
              </w:rPr>
              <w:t>Irreg</w:t>
            </w:r>
            <w:r w:rsidR="009F1011" w:rsidRPr="00930BFB">
              <w:rPr>
                <w:sz w:val="18"/>
                <w:szCs w:val="18"/>
              </w:rPr>
              <w:t>.</w:t>
            </w:r>
            <w:r w:rsidRPr="00930BFB">
              <w:rPr>
                <w:sz w:val="18"/>
                <w:szCs w:val="18"/>
              </w:rPr>
              <w:t> : 20</w:t>
            </w:r>
            <w:r w:rsidR="009F1011" w:rsidRPr="00930BFB">
              <w:rPr>
                <w:sz w:val="18"/>
                <w:szCs w:val="18"/>
              </w:rPr>
              <w:t xml:space="preserve"> </w:t>
            </w:r>
            <w:r w:rsidRPr="00930BFB">
              <w:rPr>
                <w:sz w:val="18"/>
                <w:szCs w:val="18"/>
              </w:rPr>
              <w:t>g/an</w:t>
            </w:r>
          </w:p>
        </w:tc>
        <w:tc>
          <w:tcPr>
            <w:tcW w:w="763" w:type="pct"/>
            <w:vAlign w:val="center"/>
          </w:tcPr>
          <w:p w:rsidR="00FC10F0" w:rsidRPr="009F1011" w:rsidRDefault="00FC10F0" w:rsidP="00FC10F0">
            <w:pPr>
              <w:spacing w:before="0"/>
              <w:jc w:val="center"/>
              <w:rPr>
                <w:color w:val="000000" w:themeColor="text1"/>
                <w:sz w:val="18"/>
                <w:szCs w:val="18"/>
                <w:lang w:val="fr-FR"/>
              </w:rPr>
            </w:pPr>
            <w:r w:rsidRPr="009F1011">
              <w:rPr>
                <w:color w:val="000000" w:themeColor="text1"/>
                <w:sz w:val="18"/>
                <w:szCs w:val="18"/>
                <w:lang w:val="fr-FR"/>
              </w:rPr>
              <w:t>0</w:t>
            </w:r>
          </w:p>
        </w:tc>
        <w:tc>
          <w:tcPr>
            <w:tcW w:w="897" w:type="pct"/>
            <w:vAlign w:val="center"/>
          </w:tcPr>
          <w:p w:rsidR="00FC10F0" w:rsidRPr="009F1011" w:rsidRDefault="00FC10F0" w:rsidP="00FC10F0">
            <w:pPr>
              <w:spacing w:before="0"/>
              <w:jc w:val="center"/>
              <w:rPr>
                <w:sz w:val="18"/>
                <w:szCs w:val="18"/>
                <w:lang w:val="fr-FR"/>
              </w:rPr>
            </w:pPr>
            <w:r w:rsidRPr="009F1011">
              <w:rPr>
                <w:sz w:val="18"/>
                <w:szCs w:val="18"/>
                <w:lang w:val="fr-FR"/>
              </w:rPr>
              <w:t>0</w:t>
            </w:r>
          </w:p>
        </w:tc>
      </w:tr>
    </w:tbl>
    <w:p w:rsidR="008203B6" w:rsidRPr="00421370" w:rsidRDefault="008203B6" w:rsidP="00723836">
      <w:pPr>
        <w:autoSpaceDE w:val="0"/>
        <w:autoSpaceDN w:val="0"/>
        <w:adjustRightInd w:val="0"/>
        <w:spacing w:after="0" w:line="240" w:lineRule="auto"/>
        <w:jc w:val="both"/>
        <w:rPr>
          <w:rFonts w:cstheme="minorHAnsi"/>
          <w:lang w:val="fr-FR"/>
        </w:rPr>
      </w:pPr>
      <w:r w:rsidRPr="00421370">
        <w:rPr>
          <w:rFonts w:cstheme="minorHAnsi"/>
          <w:lang w:val="fr-FR"/>
        </w:rPr>
        <w:t>La seule information disponible sur les efficacités de récupération en fin de vie est fournie par le bilan DEEE par département.</w:t>
      </w:r>
      <w:r w:rsidR="00723836" w:rsidRPr="00421370">
        <w:rPr>
          <w:rFonts w:cstheme="minorHAnsi"/>
          <w:lang w:val="fr-FR"/>
        </w:rPr>
        <w:t xml:space="preserve"> Selon [BIO10], </w:t>
      </w:r>
      <w:r w:rsidR="009F1011">
        <w:rPr>
          <w:rFonts w:cstheme="minorHAnsi"/>
          <w:lang w:val="fr-FR"/>
        </w:rPr>
        <w:t>l</w:t>
      </w:r>
      <w:r w:rsidR="00723836" w:rsidRPr="00421370">
        <w:rPr>
          <w:rFonts w:cstheme="minorHAnsi"/>
          <w:lang w:val="fr-FR"/>
        </w:rPr>
        <w:t>e lancement de la filière de collecte et de traitement des DEEE dans les DOM a été décalé d’une année par rapport à la métropole. Les premières déclarations de collecte pour la Martinique, la Guadeloupe et la Réunion ont été enregistrées en 2008 et la première déclaration de collecte pour la Guyane en 2009. Les résultats des filières sont encore très faibles, le t</w:t>
      </w:r>
      <w:r w:rsidR="009F1011">
        <w:rPr>
          <w:rFonts w:cstheme="minorHAnsi"/>
          <w:lang w:val="fr-FR"/>
        </w:rPr>
        <w:t>aux de recyclage moyen est de 1</w:t>
      </w:r>
      <w:r w:rsidR="00723836" w:rsidRPr="00421370">
        <w:rPr>
          <w:rFonts w:cstheme="minorHAnsi"/>
          <w:lang w:val="fr-FR"/>
        </w:rPr>
        <w:t>,5</w:t>
      </w:r>
      <w:r w:rsidR="009F1011">
        <w:rPr>
          <w:rFonts w:cstheme="minorHAnsi"/>
          <w:lang w:val="fr-FR"/>
        </w:rPr>
        <w:t xml:space="preserve"> </w:t>
      </w:r>
      <w:r w:rsidR="00723836" w:rsidRPr="00421370">
        <w:rPr>
          <w:rFonts w:cstheme="minorHAnsi"/>
          <w:lang w:val="fr-FR"/>
        </w:rPr>
        <w:t xml:space="preserve">kg par habitant </w:t>
      </w:r>
      <w:r w:rsidR="00723836" w:rsidRPr="00421370">
        <w:rPr>
          <w:rFonts w:cstheme="minorHAnsi"/>
          <w:lang w:val="fr-FR"/>
        </w:rPr>
        <w:lastRenderedPageBreak/>
        <w:t>(sauf en Guadeloupe, de 4</w:t>
      </w:r>
      <w:r w:rsidR="009F1011">
        <w:rPr>
          <w:rFonts w:cstheme="minorHAnsi"/>
          <w:lang w:val="fr-FR"/>
        </w:rPr>
        <w:t xml:space="preserve"> </w:t>
      </w:r>
      <w:r w:rsidR="00723836" w:rsidRPr="00421370">
        <w:rPr>
          <w:rFonts w:cstheme="minorHAnsi"/>
          <w:lang w:val="fr-FR"/>
        </w:rPr>
        <w:t>kg par habitant), contre 5,9 en métropole. La filière DEEE n’est pas mise en place dans les COM.</w:t>
      </w:r>
      <w:r w:rsidR="00C143E6">
        <w:rPr>
          <w:rFonts w:cstheme="minorHAnsi"/>
          <w:lang w:val="fr-FR"/>
        </w:rPr>
        <w:t xml:space="preserve"> Dans les hypothèses du </w:t>
      </w:r>
      <w:r w:rsidR="009F1011">
        <w:rPr>
          <w:rFonts w:cstheme="minorHAnsi"/>
          <w:lang w:val="fr-FR"/>
        </w:rPr>
        <w:t>g</w:t>
      </w:r>
      <w:r w:rsidR="00C143E6">
        <w:rPr>
          <w:rFonts w:cstheme="minorHAnsi"/>
          <w:lang w:val="fr-FR"/>
        </w:rPr>
        <w:t>roupe 1, il a donc été considéré un ratio de 1,5/5,9</w:t>
      </w:r>
      <w:r w:rsidR="00ED5891">
        <w:rPr>
          <w:rFonts w:cstheme="minorHAnsi"/>
          <w:lang w:val="fr-FR"/>
        </w:rPr>
        <w:t xml:space="preserve"> par rapport au niveau de l’efficacité de récupération de la filière DEEE en métropole, ce qui conduit à 7</w:t>
      </w:r>
      <w:r w:rsidR="009F1011">
        <w:rPr>
          <w:rFonts w:cstheme="minorHAnsi"/>
          <w:lang w:val="fr-FR"/>
        </w:rPr>
        <w:t xml:space="preserve"> </w:t>
      </w:r>
      <w:r w:rsidR="00ED5891">
        <w:rPr>
          <w:rFonts w:cstheme="minorHAnsi"/>
          <w:lang w:val="fr-FR"/>
        </w:rPr>
        <w:t>% en 2010.</w:t>
      </w:r>
    </w:p>
    <w:p w:rsidR="00982115" w:rsidRPr="00C8316D" w:rsidRDefault="00982115" w:rsidP="006065A7">
      <w:pPr>
        <w:rPr>
          <w:rFonts w:ascii="Arial" w:hAnsi="Arial" w:cs="Arial"/>
          <w:lang w:val="fr-FR"/>
        </w:rPr>
      </w:pPr>
    </w:p>
    <w:p w:rsidR="00086C4C" w:rsidRPr="00C8316D" w:rsidRDefault="00086C4C">
      <w:pPr>
        <w:rPr>
          <w:rFonts w:ascii="Arial" w:hAnsi="Arial" w:cs="Arial"/>
          <w:b/>
          <w:lang w:val="fr-FR"/>
        </w:rPr>
      </w:pPr>
      <w:r w:rsidRPr="00C8316D">
        <w:rPr>
          <w:rFonts w:ascii="Arial" w:hAnsi="Arial" w:cs="Arial"/>
          <w:b/>
          <w:lang w:val="fr-FR"/>
        </w:rPr>
        <w:br w:type="page"/>
      </w:r>
    </w:p>
    <w:p w:rsidR="00307A6B" w:rsidRPr="00C8316D" w:rsidRDefault="00A43444" w:rsidP="00ED7423">
      <w:pPr>
        <w:pStyle w:val="Titre1"/>
        <w:rPr>
          <w:lang w:val="fr-FR"/>
        </w:rPr>
      </w:pPr>
      <w:bookmarkStart w:id="25" w:name="_Toc310855648"/>
      <w:r>
        <w:rPr>
          <w:lang w:val="fr-FR"/>
        </w:rPr>
        <w:lastRenderedPageBreak/>
        <w:t>5</w:t>
      </w:r>
      <w:r w:rsidR="00E712AC" w:rsidRPr="00C8316D">
        <w:rPr>
          <w:lang w:val="fr-FR"/>
        </w:rPr>
        <w:t xml:space="preserve"> -</w:t>
      </w:r>
      <w:r>
        <w:rPr>
          <w:lang w:val="fr-FR"/>
        </w:rPr>
        <w:t xml:space="preserve"> </w:t>
      </w:r>
      <w:r w:rsidR="00ED7423" w:rsidRPr="00C8316D">
        <w:rPr>
          <w:lang w:val="fr-FR"/>
        </w:rPr>
        <w:t>Résultats</w:t>
      </w:r>
      <w:bookmarkEnd w:id="25"/>
    </w:p>
    <w:p w:rsidR="00C3300B" w:rsidRPr="00C8316D" w:rsidRDefault="00A43444" w:rsidP="00C3300B">
      <w:pPr>
        <w:pStyle w:val="Titre2"/>
        <w:rPr>
          <w:lang w:val="fr-FR"/>
        </w:rPr>
      </w:pPr>
      <w:bookmarkStart w:id="26" w:name="_Toc310855649"/>
      <w:bookmarkStart w:id="27" w:name="OLE_LINK5"/>
      <w:bookmarkStart w:id="28" w:name="OLE_LINK6"/>
      <w:r>
        <w:rPr>
          <w:lang w:val="fr-FR"/>
        </w:rPr>
        <w:t xml:space="preserve">5.1 </w:t>
      </w:r>
      <w:r w:rsidR="00ED5891">
        <w:rPr>
          <w:lang w:val="fr-FR"/>
        </w:rPr>
        <w:t>Résultats detailles transmis au citepa</w:t>
      </w:r>
      <w:bookmarkEnd w:id="26"/>
    </w:p>
    <w:bookmarkEnd w:id="27"/>
    <w:bookmarkEnd w:id="28"/>
    <w:p w:rsidR="00ED5891" w:rsidRPr="0037173D" w:rsidRDefault="0037173D" w:rsidP="00ED5891">
      <w:pPr>
        <w:jc w:val="both"/>
        <w:rPr>
          <w:rFonts w:cstheme="minorHAnsi"/>
          <w:lang w:val="fr-FR"/>
        </w:rPr>
      </w:pPr>
      <w:r w:rsidRPr="0037173D">
        <w:rPr>
          <w:rFonts w:cstheme="minorHAnsi"/>
          <w:lang w:val="fr-FR"/>
        </w:rPr>
        <w:t>A partir des résultats de</w:t>
      </w:r>
      <w:r w:rsidR="00ED5891" w:rsidRPr="0037173D">
        <w:rPr>
          <w:rFonts w:cstheme="minorHAnsi"/>
          <w:lang w:val="fr-FR"/>
        </w:rPr>
        <w:t xml:space="preserve"> calcul</w:t>
      </w:r>
      <w:r w:rsidRPr="0037173D">
        <w:rPr>
          <w:rFonts w:cstheme="minorHAnsi"/>
          <w:lang w:val="fr-FR"/>
        </w:rPr>
        <w:t>s</w:t>
      </w:r>
      <w:r w:rsidR="00ED5891" w:rsidRPr="0037173D">
        <w:rPr>
          <w:rFonts w:cstheme="minorHAnsi"/>
          <w:lang w:val="fr-FR"/>
        </w:rPr>
        <w:t xml:space="preserve"> obtenus au moyen du logiciel RIEP appliqué aux deux bases de données correspondant à l’ensemble des données et hypothèses des deux groupes de territoires (« groupe 1 » et « groupe 2 »), les résultats ont été estimés par entité, au prorata des populations de chaque territoire rapporté à celle du groupe. Ainsi, pour les 9 entités définies, deux fichiers de résultats détaillés ont été transmis au CITEPA :</w:t>
      </w:r>
    </w:p>
    <w:p w:rsidR="00ED5891" w:rsidRPr="0037173D" w:rsidRDefault="00141DFB" w:rsidP="0037173D">
      <w:pPr>
        <w:pStyle w:val="Paragraphedeliste"/>
        <w:numPr>
          <w:ilvl w:val="0"/>
          <w:numId w:val="1"/>
        </w:numPr>
        <w:spacing w:before="120" w:after="0" w:line="240" w:lineRule="auto"/>
        <w:jc w:val="both"/>
        <w:rPr>
          <w:rFonts w:cstheme="minorHAnsi"/>
          <w:lang w:val="fr-FR"/>
        </w:rPr>
      </w:pPr>
      <w:r>
        <w:rPr>
          <w:rFonts w:cstheme="minorHAnsi"/>
          <w:lang w:val="fr-FR"/>
        </w:rPr>
        <w:t>Le format CRF donnant les résult</w:t>
      </w:r>
      <w:r w:rsidR="0037173D" w:rsidRPr="0037173D">
        <w:rPr>
          <w:rFonts w:cstheme="minorHAnsi"/>
          <w:lang w:val="fr-FR"/>
        </w:rPr>
        <w:t>ats HFC primaires pour les 7 domaines d’application</w:t>
      </w:r>
    </w:p>
    <w:p w:rsidR="0037173D" w:rsidRPr="0037173D" w:rsidRDefault="0037173D" w:rsidP="0037173D">
      <w:pPr>
        <w:pStyle w:val="Paragraphedeliste"/>
        <w:numPr>
          <w:ilvl w:val="0"/>
          <w:numId w:val="1"/>
        </w:numPr>
        <w:spacing w:before="120" w:after="0" w:line="240" w:lineRule="auto"/>
        <w:jc w:val="both"/>
        <w:rPr>
          <w:rFonts w:cstheme="minorHAnsi"/>
          <w:lang w:val="fr-FR"/>
        </w:rPr>
      </w:pPr>
      <w:r w:rsidRPr="0037173D">
        <w:rPr>
          <w:rFonts w:cstheme="minorHAnsi"/>
          <w:lang w:val="fr-FR"/>
        </w:rPr>
        <w:t>Le format outputbysubsector donnant les résultats pour les 38 sous-secteurs d’équipements.</w:t>
      </w:r>
    </w:p>
    <w:p w:rsidR="00C3300B" w:rsidRPr="0037173D" w:rsidRDefault="0037173D" w:rsidP="00C3300B">
      <w:pPr>
        <w:jc w:val="both"/>
        <w:rPr>
          <w:rFonts w:cstheme="minorHAnsi"/>
          <w:lang w:val="fr-FR"/>
        </w:rPr>
      </w:pPr>
      <w:r w:rsidRPr="0037173D">
        <w:rPr>
          <w:rFonts w:cstheme="minorHAnsi"/>
          <w:lang w:val="fr-FR"/>
        </w:rPr>
        <w:t>Ces résultats incluent, de 1990 à 2010 :</w:t>
      </w:r>
    </w:p>
    <w:p w:rsidR="00C3300B" w:rsidRPr="0037173D" w:rsidRDefault="00C3300B" w:rsidP="00C3300B">
      <w:pPr>
        <w:numPr>
          <w:ilvl w:val="0"/>
          <w:numId w:val="5"/>
        </w:numPr>
        <w:spacing w:before="120" w:after="0" w:line="240" w:lineRule="auto"/>
        <w:ind w:left="714" w:hanging="357"/>
        <w:jc w:val="both"/>
        <w:rPr>
          <w:rFonts w:cstheme="minorHAnsi"/>
          <w:lang w:val="fr-FR"/>
        </w:rPr>
      </w:pPr>
      <w:r w:rsidRPr="0037173D">
        <w:rPr>
          <w:rFonts w:cstheme="minorHAnsi"/>
          <w:lang w:val="fr-FR"/>
        </w:rPr>
        <w:t>les quantités de gaz chargés dans les nouveaux équipements et dans les équipements déjà en fonctionnement,</w:t>
      </w:r>
    </w:p>
    <w:p w:rsidR="00C3300B" w:rsidRDefault="00C3300B" w:rsidP="00C3300B">
      <w:pPr>
        <w:numPr>
          <w:ilvl w:val="0"/>
          <w:numId w:val="5"/>
        </w:numPr>
        <w:spacing w:before="120" w:after="0" w:line="240" w:lineRule="auto"/>
        <w:ind w:left="714" w:hanging="357"/>
        <w:jc w:val="both"/>
        <w:rPr>
          <w:rFonts w:cstheme="minorHAnsi"/>
          <w:lang w:val="fr-FR"/>
        </w:rPr>
      </w:pPr>
      <w:r w:rsidRPr="0037173D">
        <w:rPr>
          <w:rFonts w:cstheme="minorHAnsi"/>
          <w:lang w:val="fr-FR"/>
        </w:rPr>
        <w:t>les émissions à la charge des gaz, lors de l’utilisation des équipements et en fin de vie des équipements.</w:t>
      </w:r>
    </w:p>
    <w:p w:rsidR="00141DFB" w:rsidRDefault="00141DFB" w:rsidP="00141DFB">
      <w:pPr>
        <w:spacing w:before="120" w:after="0" w:line="240" w:lineRule="auto"/>
        <w:ind w:left="714"/>
        <w:jc w:val="both"/>
        <w:rPr>
          <w:rFonts w:cstheme="minorHAnsi"/>
          <w:lang w:val="fr-FR"/>
        </w:rPr>
      </w:pPr>
    </w:p>
    <w:p w:rsidR="0037173D" w:rsidRPr="00C8316D" w:rsidRDefault="00A43444" w:rsidP="0037173D">
      <w:pPr>
        <w:pStyle w:val="Titre2"/>
        <w:rPr>
          <w:lang w:val="fr-FR"/>
        </w:rPr>
      </w:pPr>
      <w:bookmarkStart w:id="29" w:name="_Toc310855650"/>
      <w:r>
        <w:rPr>
          <w:lang w:val="fr-FR"/>
        </w:rPr>
        <w:t xml:space="preserve">5.2 </w:t>
      </w:r>
      <w:r w:rsidR="0037173D">
        <w:rPr>
          <w:lang w:val="fr-FR"/>
        </w:rPr>
        <w:t>SYNTHESE DES RésultatS</w:t>
      </w:r>
      <w:bookmarkEnd w:id="29"/>
    </w:p>
    <w:p w:rsidR="007B7960" w:rsidRDefault="007B7960" w:rsidP="007B7960">
      <w:pPr>
        <w:spacing w:before="120" w:after="0" w:line="240" w:lineRule="auto"/>
        <w:jc w:val="both"/>
        <w:rPr>
          <w:rFonts w:cstheme="minorHAnsi"/>
          <w:lang w:val="fr-FR"/>
        </w:rPr>
      </w:pPr>
      <w:r>
        <w:rPr>
          <w:rFonts w:cstheme="minorHAnsi"/>
          <w:lang w:val="fr-FR"/>
        </w:rPr>
        <w:t>La banque totale des DOM COM (figure 4</w:t>
      </w:r>
      <w:r w:rsidR="00D371CD">
        <w:rPr>
          <w:rFonts w:cstheme="minorHAnsi"/>
          <w:lang w:val="fr-FR"/>
        </w:rPr>
        <w:t>.A</w:t>
      </w:r>
      <w:r>
        <w:rPr>
          <w:rFonts w:cstheme="minorHAnsi"/>
          <w:lang w:val="fr-FR"/>
        </w:rPr>
        <w:t>) est estimée à 1 900 tonnes en 2010 à 66% constituée de HFC. Elle est dominée par celle de la Réunion, à 31%, suivie par la Guadeloupe (17%), la Martinique (15%) et la Polynésie (10%).</w:t>
      </w:r>
    </w:p>
    <w:p w:rsidR="0037173D" w:rsidRDefault="005369FE" w:rsidP="00DA12EE">
      <w:pPr>
        <w:spacing w:before="120" w:after="0" w:line="240" w:lineRule="auto"/>
        <w:jc w:val="center"/>
        <w:rPr>
          <w:rFonts w:cstheme="minorHAnsi"/>
          <w:lang w:val="fr-FR"/>
        </w:rPr>
      </w:pPr>
      <w:r w:rsidRPr="005369FE">
        <w:rPr>
          <w:noProof/>
          <w:lang w:val="fr-FR" w:eastAsia="fr-FR" w:bidi="ar-SA"/>
        </w:rPr>
        <w:drawing>
          <wp:inline distT="0" distB="0" distL="0" distR="0">
            <wp:extent cx="5343174" cy="2831911"/>
            <wp:effectExtent l="19050" t="0" r="0" b="0"/>
            <wp:docPr id="2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5349623" cy="2835329"/>
                    </a:xfrm>
                    <a:prstGeom prst="rect">
                      <a:avLst/>
                    </a:prstGeom>
                    <a:noFill/>
                    <a:ln w="9525">
                      <a:noFill/>
                      <a:miter lim="800000"/>
                      <a:headEnd/>
                      <a:tailEnd/>
                    </a:ln>
                  </pic:spPr>
                </pic:pic>
              </a:graphicData>
            </a:graphic>
          </wp:inline>
        </w:drawing>
      </w:r>
    </w:p>
    <w:p w:rsidR="005250B0" w:rsidRDefault="005250B0" w:rsidP="00466D95">
      <w:pPr>
        <w:pStyle w:val="Sous-titre"/>
        <w:spacing w:after="120"/>
        <w:jc w:val="center"/>
        <w:rPr>
          <w:lang w:val="fr-FR"/>
        </w:rPr>
      </w:pPr>
      <w:r>
        <w:rPr>
          <w:lang w:val="fr-FR"/>
        </w:rPr>
        <w:t>Figure 4</w:t>
      </w:r>
      <w:r w:rsidR="00697D0D">
        <w:rPr>
          <w:lang w:val="fr-FR"/>
        </w:rPr>
        <w:t>.a</w:t>
      </w:r>
      <w:r>
        <w:rPr>
          <w:lang w:val="fr-FR"/>
        </w:rPr>
        <w:t xml:space="preserve"> – Evolution de la</w:t>
      </w:r>
      <w:r w:rsidR="00141DFB">
        <w:rPr>
          <w:lang w:val="fr-FR"/>
        </w:rPr>
        <w:t xml:space="preserve"> banque de fluides frigorigènes</w:t>
      </w:r>
      <w:r w:rsidR="00141DFB">
        <w:rPr>
          <w:lang w:val="fr-FR"/>
        </w:rPr>
        <w:br/>
      </w:r>
      <w:r>
        <w:rPr>
          <w:lang w:val="fr-FR"/>
        </w:rPr>
        <w:t>dans les DOM COM</w:t>
      </w:r>
    </w:p>
    <w:p w:rsidR="00D371CD" w:rsidRPr="00D371CD" w:rsidRDefault="00D371CD" w:rsidP="00D371CD">
      <w:pPr>
        <w:rPr>
          <w:lang w:val="fr-FR"/>
        </w:rPr>
      </w:pPr>
      <w:r>
        <w:rPr>
          <w:lang w:val="fr-FR"/>
        </w:rPr>
        <w:t>La banque de HFC (figure 4.B) est estimée à 1 260 t en 2010. De même, elle est nettement dominée par la Réunion (35 %), suivie de la Guadeloupe (19 %) et de la Martinique (17 %).</w:t>
      </w:r>
    </w:p>
    <w:p w:rsidR="007662B8" w:rsidRDefault="00E0766F" w:rsidP="00F95ED4">
      <w:pPr>
        <w:jc w:val="center"/>
        <w:rPr>
          <w:lang w:val="fr-FR"/>
        </w:rPr>
      </w:pPr>
      <w:r w:rsidRPr="00E0766F">
        <w:rPr>
          <w:noProof/>
          <w:lang w:val="fr-FR" w:eastAsia="fr-FR" w:bidi="ar-SA"/>
        </w:rPr>
        <w:lastRenderedPageBreak/>
        <w:drawing>
          <wp:inline distT="0" distB="0" distL="0" distR="0">
            <wp:extent cx="5179325" cy="2802770"/>
            <wp:effectExtent l="0" t="0" r="0" b="0"/>
            <wp:docPr id="2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5180553" cy="2803434"/>
                    </a:xfrm>
                    <a:prstGeom prst="rect">
                      <a:avLst/>
                    </a:prstGeom>
                    <a:noFill/>
                    <a:ln w="9525">
                      <a:noFill/>
                      <a:miter lim="800000"/>
                      <a:headEnd/>
                      <a:tailEnd/>
                    </a:ln>
                  </pic:spPr>
                </pic:pic>
              </a:graphicData>
            </a:graphic>
          </wp:inline>
        </w:drawing>
      </w:r>
    </w:p>
    <w:p w:rsidR="007662B8" w:rsidRPr="007662B8" w:rsidRDefault="00697D0D" w:rsidP="00466D95">
      <w:pPr>
        <w:pStyle w:val="Sous-titre"/>
        <w:spacing w:after="120"/>
        <w:jc w:val="center"/>
        <w:rPr>
          <w:lang w:val="fr-FR"/>
        </w:rPr>
      </w:pPr>
      <w:r>
        <w:rPr>
          <w:lang w:val="fr-FR"/>
        </w:rPr>
        <w:t>Figure 4.b – Evolution de la banque de hfc</w:t>
      </w:r>
      <w:r>
        <w:rPr>
          <w:lang w:val="fr-FR"/>
        </w:rPr>
        <w:br/>
        <w:t>dans les DOM COM</w:t>
      </w:r>
    </w:p>
    <w:p w:rsidR="007B7960" w:rsidRDefault="007B7960" w:rsidP="007B7960">
      <w:pPr>
        <w:spacing w:before="120" w:after="0" w:line="240" w:lineRule="auto"/>
        <w:jc w:val="both"/>
        <w:rPr>
          <w:rFonts w:cstheme="minorHAnsi"/>
          <w:lang w:val="fr-FR"/>
        </w:rPr>
      </w:pPr>
      <w:r>
        <w:rPr>
          <w:rFonts w:cstheme="minorHAnsi"/>
          <w:lang w:val="fr-FR"/>
        </w:rPr>
        <w:t xml:space="preserve">La demande </w:t>
      </w:r>
      <w:r w:rsidR="00D371CD">
        <w:rPr>
          <w:rFonts w:cstheme="minorHAnsi"/>
          <w:lang w:val="fr-FR"/>
        </w:rPr>
        <w:t xml:space="preserve">totale </w:t>
      </w:r>
      <w:r>
        <w:rPr>
          <w:rFonts w:cstheme="minorHAnsi"/>
          <w:lang w:val="fr-FR"/>
        </w:rPr>
        <w:t>(figure 5</w:t>
      </w:r>
      <w:r w:rsidR="00D371CD">
        <w:rPr>
          <w:rFonts w:cstheme="minorHAnsi"/>
          <w:lang w:val="fr-FR"/>
        </w:rPr>
        <w:t>.A</w:t>
      </w:r>
      <w:r>
        <w:rPr>
          <w:rFonts w:cstheme="minorHAnsi"/>
          <w:lang w:val="fr-FR"/>
        </w:rPr>
        <w:t>) reconstituée pour les DOM COM est évaluée à 254 tonnes pour 2010.</w:t>
      </w:r>
      <w:r w:rsidR="0016133C">
        <w:rPr>
          <w:rFonts w:cstheme="minorHAnsi"/>
          <w:lang w:val="fr-FR"/>
        </w:rPr>
        <w:t xml:space="preserve"> Dans le groupe 1, cette demande est constituée à 73% de HFC (134 t). Dans le groupe 2, c’est l’inverse, les HCFC représentent encore 79% de la demande avec 55 t en 2010. A l’image de la banque la demande est dominée par la Réunion (79t), suivie de la Guadeloupe (43t) et de la Martinique (39t). Au vu des premières communications </w:t>
      </w:r>
      <w:r w:rsidR="00E76B62">
        <w:rPr>
          <w:rFonts w:cstheme="minorHAnsi"/>
          <w:lang w:val="fr-FR"/>
        </w:rPr>
        <w:t xml:space="preserve">confidentielles </w:t>
      </w:r>
      <w:r w:rsidR="0016133C">
        <w:rPr>
          <w:rFonts w:cstheme="minorHAnsi"/>
          <w:lang w:val="fr-FR"/>
        </w:rPr>
        <w:t>par un distributeur de fluides frigorigène</w:t>
      </w:r>
      <w:r w:rsidR="003250FE">
        <w:rPr>
          <w:rFonts w:cstheme="minorHAnsi"/>
          <w:lang w:val="fr-FR"/>
        </w:rPr>
        <w:t>s</w:t>
      </w:r>
      <w:r w:rsidR="0016133C">
        <w:rPr>
          <w:rFonts w:cstheme="minorHAnsi"/>
          <w:lang w:val="fr-FR"/>
        </w:rPr>
        <w:t xml:space="preserve"> </w:t>
      </w:r>
      <w:r w:rsidR="00E76B62">
        <w:rPr>
          <w:rFonts w:cstheme="minorHAnsi"/>
          <w:lang w:val="fr-FR"/>
        </w:rPr>
        <w:t xml:space="preserve">présent </w:t>
      </w:r>
      <w:r w:rsidR="0016133C">
        <w:rPr>
          <w:rFonts w:cstheme="minorHAnsi"/>
          <w:lang w:val="fr-FR"/>
        </w:rPr>
        <w:t>sur ces territoires, il semble que la demande soit sous-estimée pour la Guadeloupe et la Martinique.</w:t>
      </w:r>
    </w:p>
    <w:p w:rsidR="005250B0" w:rsidRDefault="005250B0" w:rsidP="00DA12EE">
      <w:pPr>
        <w:spacing w:before="120" w:after="0" w:line="240" w:lineRule="auto"/>
        <w:jc w:val="center"/>
        <w:rPr>
          <w:rFonts w:cstheme="minorHAnsi"/>
          <w:lang w:val="fr-FR"/>
        </w:rPr>
      </w:pPr>
      <w:r w:rsidRPr="005250B0">
        <w:rPr>
          <w:noProof/>
          <w:lang w:val="fr-FR" w:eastAsia="fr-FR" w:bidi="ar-SA"/>
        </w:rPr>
        <w:drawing>
          <wp:inline distT="0" distB="0" distL="0" distR="0">
            <wp:extent cx="5457181" cy="2893017"/>
            <wp:effectExtent l="19050" t="0" r="0" b="0"/>
            <wp:docPr id="1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5455377" cy="2892061"/>
                    </a:xfrm>
                    <a:prstGeom prst="rect">
                      <a:avLst/>
                    </a:prstGeom>
                    <a:noFill/>
                    <a:ln w="9525">
                      <a:noFill/>
                      <a:miter lim="800000"/>
                      <a:headEnd/>
                      <a:tailEnd/>
                    </a:ln>
                  </pic:spPr>
                </pic:pic>
              </a:graphicData>
            </a:graphic>
          </wp:inline>
        </w:drawing>
      </w:r>
    </w:p>
    <w:p w:rsidR="00DA12EE" w:rsidRDefault="00DA12EE" w:rsidP="00466D95">
      <w:pPr>
        <w:pStyle w:val="Sous-titre"/>
        <w:spacing w:after="120"/>
        <w:jc w:val="center"/>
        <w:rPr>
          <w:lang w:val="fr-FR"/>
        </w:rPr>
      </w:pPr>
      <w:r>
        <w:rPr>
          <w:lang w:val="fr-FR"/>
        </w:rPr>
        <w:t>Figure 5</w:t>
      </w:r>
      <w:r w:rsidR="00D371CD">
        <w:rPr>
          <w:lang w:val="fr-FR"/>
        </w:rPr>
        <w:t>.A</w:t>
      </w:r>
      <w:r>
        <w:rPr>
          <w:lang w:val="fr-FR"/>
        </w:rPr>
        <w:t xml:space="preserve"> – Evolution de la demande</w:t>
      </w:r>
      <w:r w:rsidR="00141DFB">
        <w:rPr>
          <w:lang w:val="fr-FR"/>
        </w:rPr>
        <w:t xml:space="preserve"> totale de fluides frigorigènes</w:t>
      </w:r>
      <w:r w:rsidR="00141DFB">
        <w:rPr>
          <w:lang w:val="fr-FR"/>
        </w:rPr>
        <w:br/>
      </w:r>
      <w:r>
        <w:rPr>
          <w:lang w:val="fr-FR"/>
        </w:rPr>
        <w:t>dans les DOM COM</w:t>
      </w:r>
    </w:p>
    <w:p w:rsidR="00F95ED4" w:rsidRPr="00F95ED4" w:rsidRDefault="00F95ED4" w:rsidP="00F95ED4">
      <w:pPr>
        <w:rPr>
          <w:lang w:val="fr-FR"/>
        </w:rPr>
      </w:pPr>
      <w:r>
        <w:rPr>
          <w:lang w:val="fr-FR"/>
        </w:rPr>
        <w:t>La demande de HFC est estimée à 147 t pour 2010 pour l’ensemble des DOM COM (figure 5.B).</w:t>
      </w:r>
      <w:r w:rsidR="003250FE">
        <w:rPr>
          <w:lang w:val="fr-FR"/>
        </w:rPr>
        <w:t xml:space="preserve"> Elle est en forte croissance, notamment à la Réunion.</w:t>
      </w:r>
    </w:p>
    <w:p w:rsidR="00924F8A" w:rsidRDefault="00E0766F" w:rsidP="00F95ED4">
      <w:pPr>
        <w:jc w:val="center"/>
        <w:rPr>
          <w:lang w:val="fr-FR"/>
        </w:rPr>
      </w:pPr>
      <w:r w:rsidRPr="00E0766F">
        <w:rPr>
          <w:noProof/>
          <w:lang w:val="fr-FR" w:eastAsia="fr-FR" w:bidi="ar-SA"/>
        </w:rPr>
        <w:lastRenderedPageBreak/>
        <w:drawing>
          <wp:inline distT="0" distB="0" distL="0" distR="0">
            <wp:extent cx="5261211" cy="2847082"/>
            <wp:effectExtent l="19050" t="0" r="0" b="0"/>
            <wp:docPr id="2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262458" cy="2847757"/>
                    </a:xfrm>
                    <a:prstGeom prst="rect">
                      <a:avLst/>
                    </a:prstGeom>
                    <a:noFill/>
                    <a:ln w="9525">
                      <a:noFill/>
                      <a:miter lim="800000"/>
                      <a:headEnd/>
                      <a:tailEnd/>
                    </a:ln>
                  </pic:spPr>
                </pic:pic>
              </a:graphicData>
            </a:graphic>
          </wp:inline>
        </w:drawing>
      </w:r>
    </w:p>
    <w:p w:rsidR="00924F8A" w:rsidRDefault="00924F8A" w:rsidP="00466D95">
      <w:pPr>
        <w:pStyle w:val="Sous-titre"/>
        <w:spacing w:after="120"/>
        <w:jc w:val="center"/>
        <w:rPr>
          <w:lang w:val="fr-FR"/>
        </w:rPr>
      </w:pPr>
      <w:r>
        <w:rPr>
          <w:lang w:val="fr-FR"/>
        </w:rPr>
        <w:t>Figure 5.B – Evolution de la demande de HFC</w:t>
      </w:r>
      <w:r>
        <w:rPr>
          <w:lang w:val="fr-FR"/>
        </w:rPr>
        <w:br/>
        <w:t>dans les DOM COM</w:t>
      </w:r>
    </w:p>
    <w:p w:rsidR="0016133C" w:rsidRPr="0016133C" w:rsidRDefault="0016133C" w:rsidP="0016133C">
      <w:pPr>
        <w:rPr>
          <w:lang w:val="fr-FR"/>
        </w:rPr>
      </w:pPr>
      <w:r>
        <w:rPr>
          <w:lang w:val="fr-FR"/>
        </w:rPr>
        <w:t>Les émissions totales sont évaluées à 291 t dans les DOM COM en 2010</w:t>
      </w:r>
      <w:r w:rsidR="00F81A2C">
        <w:rPr>
          <w:lang w:val="fr-FR"/>
        </w:rPr>
        <w:t xml:space="preserve"> (figure 6.A)</w:t>
      </w:r>
      <w:r>
        <w:rPr>
          <w:lang w:val="fr-FR"/>
        </w:rPr>
        <w:t>.</w:t>
      </w:r>
      <w:r w:rsidR="00F81A2C">
        <w:rPr>
          <w:lang w:val="fr-FR"/>
        </w:rPr>
        <w:t xml:space="preserve"> Elles sont relativement stables depuis 2007.</w:t>
      </w:r>
    </w:p>
    <w:p w:rsidR="005250B0" w:rsidRDefault="005250B0" w:rsidP="005369FE">
      <w:pPr>
        <w:spacing w:before="120" w:after="0" w:line="240" w:lineRule="auto"/>
        <w:jc w:val="center"/>
        <w:rPr>
          <w:rFonts w:cstheme="minorHAnsi"/>
          <w:lang w:val="fr-FR"/>
        </w:rPr>
      </w:pPr>
      <w:r w:rsidRPr="005250B0">
        <w:rPr>
          <w:noProof/>
          <w:lang w:val="fr-FR" w:eastAsia="fr-FR" w:bidi="ar-SA"/>
        </w:rPr>
        <w:drawing>
          <wp:inline distT="0" distB="0" distL="0" distR="0">
            <wp:extent cx="5575110" cy="2942167"/>
            <wp:effectExtent l="19050" t="0" r="6540" b="0"/>
            <wp:docPr id="1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5576431" cy="2942864"/>
                    </a:xfrm>
                    <a:prstGeom prst="rect">
                      <a:avLst/>
                    </a:prstGeom>
                    <a:noFill/>
                    <a:ln w="9525">
                      <a:noFill/>
                      <a:miter lim="800000"/>
                      <a:headEnd/>
                      <a:tailEnd/>
                    </a:ln>
                  </pic:spPr>
                </pic:pic>
              </a:graphicData>
            </a:graphic>
          </wp:inline>
        </w:drawing>
      </w:r>
    </w:p>
    <w:p w:rsidR="00DA12EE" w:rsidRDefault="00DA12EE" w:rsidP="00466D95">
      <w:pPr>
        <w:pStyle w:val="Sous-titre"/>
        <w:spacing w:after="120"/>
        <w:jc w:val="center"/>
        <w:rPr>
          <w:lang w:val="fr-FR"/>
        </w:rPr>
      </w:pPr>
      <w:r>
        <w:rPr>
          <w:lang w:val="fr-FR"/>
        </w:rPr>
        <w:t>Figure 6</w:t>
      </w:r>
      <w:r w:rsidR="00F81A2C">
        <w:rPr>
          <w:lang w:val="fr-FR"/>
        </w:rPr>
        <w:t>.A</w:t>
      </w:r>
      <w:r>
        <w:rPr>
          <w:lang w:val="fr-FR"/>
        </w:rPr>
        <w:t xml:space="preserve"> – Evolution des em</w:t>
      </w:r>
      <w:r w:rsidR="00141DFB">
        <w:rPr>
          <w:lang w:val="fr-FR"/>
        </w:rPr>
        <w:t>issions de fluides frigorigènes</w:t>
      </w:r>
      <w:r w:rsidR="00141DFB">
        <w:rPr>
          <w:lang w:val="fr-FR"/>
        </w:rPr>
        <w:br/>
      </w:r>
      <w:r>
        <w:rPr>
          <w:lang w:val="fr-FR"/>
        </w:rPr>
        <w:t>dans les DOM COM</w:t>
      </w:r>
    </w:p>
    <w:p w:rsidR="00F81A2C" w:rsidRPr="00F81A2C" w:rsidRDefault="00F81A2C" w:rsidP="00F81A2C">
      <w:pPr>
        <w:rPr>
          <w:lang w:val="fr-FR"/>
        </w:rPr>
      </w:pPr>
      <w:r>
        <w:rPr>
          <w:lang w:val="fr-FR"/>
        </w:rPr>
        <w:t xml:space="preserve">Les émissions de HFC (figure 6.B) </w:t>
      </w:r>
      <w:r w:rsidR="005369FE">
        <w:rPr>
          <w:lang w:val="fr-FR"/>
        </w:rPr>
        <w:t>représentent 170 t en 2010. Du fait des GWP élevés des HFC remplaçants le R</w:t>
      </w:r>
      <w:r w:rsidR="005369FE">
        <w:rPr>
          <w:lang w:val="fr-FR"/>
        </w:rPr>
        <w:noBreakHyphen/>
        <w:t>22, e</w:t>
      </w:r>
      <w:r>
        <w:rPr>
          <w:lang w:val="fr-FR"/>
        </w:rPr>
        <w:t>lles sont en forte croissance, notamment à la Réunion, et dominent les émissions totales (à 57 %).</w:t>
      </w:r>
    </w:p>
    <w:p w:rsidR="00AD06CE" w:rsidRDefault="00AD06CE" w:rsidP="00AD06CE">
      <w:pPr>
        <w:jc w:val="center"/>
        <w:rPr>
          <w:lang w:val="fr-FR"/>
        </w:rPr>
      </w:pPr>
    </w:p>
    <w:p w:rsidR="00F81A2C" w:rsidRDefault="00E0766F" w:rsidP="00AD06CE">
      <w:pPr>
        <w:spacing w:after="0"/>
        <w:jc w:val="center"/>
        <w:rPr>
          <w:lang w:val="fr-FR"/>
        </w:rPr>
      </w:pPr>
      <w:r w:rsidRPr="00E0766F">
        <w:rPr>
          <w:noProof/>
          <w:lang w:val="fr-FR" w:eastAsia="fr-FR" w:bidi="ar-SA"/>
        </w:rPr>
        <w:lastRenderedPageBreak/>
        <w:drawing>
          <wp:inline distT="0" distB="0" distL="0" distR="0">
            <wp:extent cx="5225132" cy="2811439"/>
            <wp:effectExtent l="19050" t="0" r="0" b="0"/>
            <wp:docPr id="2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5227790" cy="2812869"/>
                    </a:xfrm>
                    <a:prstGeom prst="rect">
                      <a:avLst/>
                    </a:prstGeom>
                    <a:noFill/>
                    <a:ln w="9525">
                      <a:noFill/>
                      <a:miter lim="800000"/>
                      <a:headEnd/>
                      <a:tailEnd/>
                    </a:ln>
                  </pic:spPr>
                </pic:pic>
              </a:graphicData>
            </a:graphic>
          </wp:inline>
        </w:drawing>
      </w:r>
    </w:p>
    <w:p w:rsidR="00F81A2C" w:rsidRDefault="00F81A2C" w:rsidP="00F81A2C">
      <w:pPr>
        <w:pStyle w:val="Sous-titre"/>
        <w:spacing w:after="120"/>
        <w:jc w:val="center"/>
        <w:rPr>
          <w:lang w:val="fr-FR"/>
        </w:rPr>
      </w:pPr>
      <w:r>
        <w:rPr>
          <w:lang w:val="fr-FR"/>
        </w:rPr>
        <w:t>Figure 6.B – Evolution des emissions de hfc</w:t>
      </w:r>
      <w:r>
        <w:rPr>
          <w:lang w:val="fr-FR"/>
        </w:rPr>
        <w:br/>
        <w:t>dans les DOM COM</w:t>
      </w:r>
    </w:p>
    <w:p w:rsidR="00AD06CE" w:rsidRDefault="00AD06CE" w:rsidP="0037173D">
      <w:pPr>
        <w:spacing w:before="120" w:after="0" w:line="240" w:lineRule="auto"/>
        <w:jc w:val="both"/>
        <w:rPr>
          <w:rFonts w:cstheme="minorHAnsi"/>
          <w:lang w:val="fr-FR"/>
        </w:rPr>
      </w:pPr>
    </w:p>
    <w:p w:rsidR="00F81A2C" w:rsidRDefault="0016133C" w:rsidP="00AD06CE">
      <w:pPr>
        <w:rPr>
          <w:rFonts w:cstheme="minorHAnsi"/>
          <w:lang w:val="fr-FR"/>
        </w:rPr>
      </w:pPr>
      <w:r>
        <w:rPr>
          <w:rFonts w:cstheme="minorHAnsi"/>
          <w:lang w:val="fr-FR"/>
        </w:rPr>
        <w:t>Les émissions totales exprimées en équivalent CO</w:t>
      </w:r>
      <w:r w:rsidRPr="00AD06CE">
        <w:rPr>
          <w:rFonts w:cstheme="minorHAnsi"/>
          <w:vertAlign w:val="subscript"/>
          <w:lang w:val="fr-FR"/>
        </w:rPr>
        <w:t>2</w:t>
      </w:r>
      <w:r w:rsidR="00DE7B4E">
        <w:rPr>
          <w:rFonts w:cstheme="minorHAnsi"/>
          <w:lang w:val="fr-FR"/>
        </w:rPr>
        <w:t xml:space="preserve"> s’élèvent à 462 000 t en première estimation, en 2010.</w:t>
      </w:r>
      <w:r w:rsidR="00AD06CE">
        <w:rPr>
          <w:rFonts w:cstheme="minorHAnsi"/>
          <w:lang w:val="fr-FR"/>
        </w:rPr>
        <w:t xml:space="preserve"> </w:t>
      </w:r>
      <w:r w:rsidR="00AD06CE">
        <w:rPr>
          <w:lang w:val="fr-FR"/>
        </w:rPr>
        <w:t xml:space="preserve">Elles sont dominées par </w:t>
      </w:r>
      <w:r w:rsidR="000859CF">
        <w:rPr>
          <w:lang w:val="fr-FR"/>
        </w:rPr>
        <w:t>celles de la Réunion (à 38 % en 2010, cf figure 8.A)</w:t>
      </w:r>
      <w:r w:rsidR="00AD06CE">
        <w:rPr>
          <w:lang w:val="fr-FR"/>
        </w:rPr>
        <w:t>.</w:t>
      </w:r>
    </w:p>
    <w:p w:rsidR="005250B0" w:rsidRDefault="005250B0" w:rsidP="005369FE">
      <w:pPr>
        <w:spacing w:before="120" w:after="0" w:line="240" w:lineRule="auto"/>
        <w:jc w:val="center"/>
        <w:rPr>
          <w:rFonts w:cstheme="minorHAnsi"/>
          <w:lang w:val="fr-FR"/>
        </w:rPr>
      </w:pPr>
      <w:r w:rsidRPr="005250B0">
        <w:rPr>
          <w:noProof/>
          <w:lang w:val="fr-FR" w:eastAsia="fr-FR" w:bidi="ar-SA"/>
        </w:rPr>
        <w:drawing>
          <wp:inline distT="0" distB="0" distL="0" distR="0">
            <wp:extent cx="5478487" cy="2844341"/>
            <wp:effectExtent l="19050" t="0" r="7913" b="0"/>
            <wp:docPr id="2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5482175" cy="2846256"/>
                    </a:xfrm>
                    <a:prstGeom prst="rect">
                      <a:avLst/>
                    </a:prstGeom>
                    <a:noFill/>
                    <a:ln w="9525">
                      <a:noFill/>
                      <a:miter lim="800000"/>
                      <a:headEnd/>
                      <a:tailEnd/>
                    </a:ln>
                  </pic:spPr>
                </pic:pic>
              </a:graphicData>
            </a:graphic>
          </wp:inline>
        </w:drawing>
      </w:r>
    </w:p>
    <w:p w:rsidR="00DA12EE" w:rsidRDefault="00DA12EE" w:rsidP="00466D95">
      <w:pPr>
        <w:pStyle w:val="Sous-titre"/>
        <w:spacing w:after="120"/>
        <w:jc w:val="center"/>
        <w:rPr>
          <w:lang w:val="fr-FR"/>
        </w:rPr>
      </w:pPr>
      <w:r>
        <w:rPr>
          <w:lang w:val="fr-FR"/>
        </w:rPr>
        <w:t>Figure 7</w:t>
      </w:r>
      <w:r w:rsidR="00AD06CE">
        <w:rPr>
          <w:lang w:val="fr-FR"/>
        </w:rPr>
        <w:t>.A</w:t>
      </w:r>
      <w:r>
        <w:rPr>
          <w:lang w:val="fr-FR"/>
        </w:rPr>
        <w:t xml:space="preserve"> – Evolution des emissions co</w:t>
      </w:r>
      <w:r w:rsidRPr="00141DFB">
        <w:rPr>
          <w:vertAlign w:val="subscript"/>
          <w:lang w:val="fr-FR"/>
        </w:rPr>
        <w:t>2</w:t>
      </w:r>
      <w:r w:rsidR="00141DFB">
        <w:rPr>
          <w:lang w:val="fr-FR"/>
        </w:rPr>
        <w:t xml:space="preserve"> de fluides frigorigènes</w:t>
      </w:r>
      <w:r w:rsidR="00141DFB">
        <w:rPr>
          <w:lang w:val="fr-FR"/>
        </w:rPr>
        <w:br/>
      </w:r>
      <w:r>
        <w:rPr>
          <w:lang w:val="fr-FR"/>
        </w:rPr>
        <w:t>dans les DOM COM</w:t>
      </w:r>
    </w:p>
    <w:p w:rsidR="00AD06CE" w:rsidRPr="00AD06CE" w:rsidRDefault="00AD06CE" w:rsidP="00AD06CE">
      <w:pPr>
        <w:rPr>
          <w:lang w:val="fr-FR"/>
        </w:rPr>
      </w:pPr>
      <w:r>
        <w:rPr>
          <w:lang w:val="fr-FR"/>
        </w:rPr>
        <w:t>Les émissions de HFC sont en croissance continue et s’élèvent à 270 000 t de CO</w:t>
      </w:r>
      <w:r w:rsidRPr="00AD06CE">
        <w:rPr>
          <w:vertAlign w:val="subscript"/>
          <w:lang w:val="fr-FR"/>
        </w:rPr>
        <w:t>2</w:t>
      </w:r>
      <w:r>
        <w:rPr>
          <w:lang w:val="fr-FR"/>
        </w:rPr>
        <w:t xml:space="preserve"> en 2010, représentant 58 % des émissions totales en équivalent CO2. La Réunion représente à elle seule 45 % des émissions CO</w:t>
      </w:r>
      <w:r w:rsidRPr="00AD06CE">
        <w:rPr>
          <w:vertAlign w:val="subscript"/>
          <w:lang w:val="fr-FR"/>
        </w:rPr>
        <w:t>2</w:t>
      </w:r>
      <w:r>
        <w:rPr>
          <w:lang w:val="fr-FR"/>
        </w:rPr>
        <w:t xml:space="preserve"> de HFC des DOM COM en 2010</w:t>
      </w:r>
      <w:r w:rsidR="000859CF">
        <w:rPr>
          <w:lang w:val="fr-FR"/>
        </w:rPr>
        <w:t xml:space="preserve"> (figure 8.B)</w:t>
      </w:r>
      <w:r>
        <w:rPr>
          <w:lang w:val="fr-FR"/>
        </w:rPr>
        <w:t>.</w:t>
      </w:r>
    </w:p>
    <w:p w:rsidR="00AD06CE" w:rsidRDefault="00E0766F" w:rsidP="00E0766F">
      <w:pPr>
        <w:jc w:val="center"/>
        <w:rPr>
          <w:lang w:val="fr-FR"/>
        </w:rPr>
      </w:pPr>
      <w:r w:rsidRPr="00E0766F">
        <w:rPr>
          <w:noProof/>
          <w:lang w:val="fr-FR" w:eastAsia="fr-FR" w:bidi="ar-SA"/>
        </w:rPr>
        <w:lastRenderedPageBreak/>
        <w:drawing>
          <wp:inline distT="0" distB="0" distL="0" distR="0">
            <wp:extent cx="5501640" cy="2913501"/>
            <wp:effectExtent l="0" t="0" r="0" b="0"/>
            <wp:docPr id="2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5502944" cy="2914192"/>
                    </a:xfrm>
                    <a:prstGeom prst="rect">
                      <a:avLst/>
                    </a:prstGeom>
                    <a:noFill/>
                    <a:ln w="9525">
                      <a:noFill/>
                      <a:miter lim="800000"/>
                      <a:headEnd/>
                      <a:tailEnd/>
                    </a:ln>
                  </pic:spPr>
                </pic:pic>
              </a:graphicData>
            </a:graphic>
          </wp:inline>
        </w:drawing>
      </w:r>
    </w:p>
    <w:p w:rsidR="00AD06CE" w:rsidRDefault="00AD06CE" w:rsidP="00AD06CE">
      <w:pPr>
        <w:pStyle w:val="Sous-titre"/>
        <w:spacing w:after="120"/>
        <w:jc w:val="center"/>
        <w:rPr>
          <w:lang w:val="fr-FR"/>
        </w:rPr>
      </w:pPr>
      <w:r>
        <w:rPr>
          <w:lang w:val="fr-FR"/>
        </w:rPr>
        <w:t>Figure 7.B – Evolution des emissions co</w:t>
      </w:r>
      <w:r w:rsidRPr="00141DFB">
        <w:rPr>
          <w:vertAlign w:val="subscript"/>
          <w:lang w:val="fr-FR"/>
        </w:rPr>
        <w:t>2</w:t>
      </w:r>
      <w:r>
        <w:rPr>
          <w:lang w:val="fr-FR"/>
        </w:rPr>
        <w:t xml:space="preserve"> de HFC</w:t>
      </w:r>
      <w:r>
        <w:rPr>
          <w:lang w:val="fr-FR"/>
        </w:rPr>
        <w:br/>
        <w:t>dans les DOM COM</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11"/>
      </w:tblGrid>
      <w:tr w:rsidR="00AD06CE" w:rsidRPr="00192718" w:rsidTr="000859CF">
        <w:tc>
          <w:tcPr>
            <w:tcW w:w="4606" w:type="dxa"/>
          </w:tcPr>
          <w:p w:rsidR="00AD06CE" w:rsidRPr="000859CF" w:rsidRDefault="00AD06CE" w:rsidP="000859CF">
            <w:pPr>
              <w:jc w:val="center"/>
              <w:rPr>
                <w:sz w:val="4"/>
                <w:szCs w:val="4"/>
                <w:lang w:val="fr-FR"/>
              </w:rPr>
            </w:pPr>
            <w:r w:rsidRPr="000859CF">
              <w:rPr>
                <w:noProof/>
                <w:sz w:val="4"/>
                <w:szCs w:val="4"/>
                <w:lang w:val="fr-FR" w:eastAsia="fr-FR" w:bidi="ar-SA"/>
              </w:rPr>
              <w:drawing>
                <wp:anchor distT="0" distB="0" distL="114300" distR="114300" simplePos="0" relativeHeight="251658240" behindDoc="0" locked="0" layoutInCell="1" allowOverlap="1">
                  <wp:simplePos x="0" y="0"/>
                  <wp:positionH relativeFrom="column">
                    <wp:posOffset>7781</wp:posOffset>
                  </wp:positionH>
                  <wp:positionV relativeFrom="paragraph">
                    <wp:posOffset>125218</wp:posOffset>
                  </wp:positionV>
                  <wp:extent cx="2777320" cy="2361063"/>
                  <wp:effectExtent l="0" t="0" r="0" b="0"/>
                  <wp:wrapSquare wrapText="bothSides"/>
                  <wp:docPr id="2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2777320" cy="2361063"/>
                          </a:xfrm>
                          <a:prstGeom prst="rect">
                            <a:avLst/>
                          </a:prstGeom>
                          <a:noFill/>
                          <a:ln w="9525">
                            <a:noFill/>
                            <a:miter lim="800000"/>
                            <a:headEnd/>
                            <a:tailEnd/>
                          </a:ln>
                        </pic:spPr>
                      </pic:pic>
                    </a:graphicData>
                  </a:graphic>
                </wp:anchor>
              </w:drawing>
            </w:r>
          </w:p>
        </w:tc>
        <w:tc>
          <w:tcPr>
            <w:tcW w:w="4606" w:type="dxa"/>
          </w:tcPr>
          <w:p w:rsidR="00AD06CE" w:rsidRPr="000859CF" w:rsidRDefault="000859CF" w:rsidP="000859CF">
            <w:pPr>
              <w:jc w:val="center"/>
              <w:rPr>
                <w:sz w:val="4"/>
                <w:szCs w:val="4"/>
                <w:lang w:val="fr-FR"/>
              </w:rPr>
            </w:pPr>
            <w:r w:rsidRPr="000859CF">
              <w:rPr>
                <w:noProof/>
                <w:sz w:val="4"/>
                <w:szCs w:val="4"/>
                <w:lang w:val="fr-FR" w:eastAsia="fr-FR" w:bidi="ar-SA"/>
              </w:rPr>
              <w:drawing>
                <wp:anchor distT="0" distB="0" distL="114300" distR="114300" simplePos="0" relativeHeight="251659264" behindDoc="0" locked="0" layoutInCell="1" allowOverlap="1">
                  <wp:simplePos x="0" y="0"/>
                  <wp:positionH relativeFrom="column">
                    <wp:posOffset>-3232</wp:posOffset>
                  </wp:positionH>
                  <wp:positionV relativeFrom="paragraph">
                    <wp:posOffset>125218</wp:posOffset>
                  </wp:positionV>
                  <wp:extent cx="2790967" cy="2361063"/>
                  <wp:effectExtent l="0" t="0" r="0" b="0"/>
                  <wp:wrapSquare wrapText="bothSides"/>
                  <wp:docPr id="2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2790967" cy="2361063"/>
                          </a:xfrm>
                          <a:prstGeom prst="rect">
                            <a:avLst/>
                          </a:prstGeom>
                          <a:noFill/>
                          <a:ln w="9525">
                            <a:noFill/>
                            <a:miter lim="800000"/>
                            <a:headEnd/>
                            <a:tailEnd/>
                          </a:ln>
                        </pic:spPr>
                      </pic:pic>
                    </a:graphicData>
                  </a:graphic>
                </wp:anchor>
              </w:drawing>
            </w:r>
          </w:p>
        </w:tc>
      </w:tr>
      <w:tr w:rsidR="00AD06CE" w:rsidRPr="00192718" w:rsidTr="000859CF">
        <w:tc>
          <w:tcPr>
            <w:tcW w:w="4606" w:type="dxa"/>
          </w:tcPr>
          <w:p w:rsidR="00AD06CE" w:rsidRDefault="00AD06CE" w:rsidP="000859CF">
            <w:pPr>
              <w:pStyle w:val="Sous-titre"/>
              <w:spacing w:after="120"/>
              <w:jc w:val="center"/>
              <w:rPr>
                <w:lang w:val="fr-FR"/>
              </w:rPr>
            </w:pPr>
            <w:r>
              <w:rPr>
                <w:lang w:val="fr-FR"/>
              </w:rPr>
              <w:t>Figure 8.A – repartition des emissions co</w:t>
            </w:r>
            <w:r w:rsidRPr="00141DFB">
              <w:rPr>
                <w:vertAlign w:val="subscript"/>
                <w:lang w:val="fr-FR"/>
              </w:rPr>
              <w:t>2</w:t>
            </w:r>
            <w:r>
              <w:rPr>
                <w:lang w:val="fr-FR"/>
              </w:rPr>
              <w:t xml:space="preserve"> de fluides frigorigènes</w:t>
            </w:r>
            <w:r w:rsidR="000859CF">
              <w:rPr>
                <w:lang w:val="fr-FR"/>
              </w:rPr>
              <w:t xml:space="preserve"> </w:t>
            </w:r>
            <w:r>
              <w:rPr>
                <w:lang w:val="fr-FR"/>
              </w:rPr>
              <w:t>dans les DOM COM</w:t>
            </w:r>
            <w:r w:rsidR="000859CF">
              <w:rPr>
                <w:lang w:val="fr-FR"/>
              </w:rPr>
              <w:t xml:space="preserve"> en 2010</w:t>
            </w:r>
          </w:p>
        </w:tc>
        <w:tc>
          <w:tcPr>
            <w:tcW w:w="4606" w:type="dxa"/>
          </w:tcPr>
          <w:p w:rsidR="00AD06CE" w:rsidRDefault="00AD06CE" w:rsidP="00AD06CE">
            <w:pPr>
              <w:pStyle w:val="Sous-titre"/>
              <w:spacing w:after="120"/>
              <w:jc w:val="center"/>
              <w:rPr>
                <w:lang w:val="fr-FR"/>
              </w:rPr>
            </w:pPr>
            <w:r>
              <w:rPr>
                <w:lang w:val="fr-FR"/>
              </w:rPr>
              <w:t>Figure 8.B – repartition des emissions co</w:t>
            </w:r>
            <w:r w:rsidRPr="00141DFB">
              <w:rPr>
                <w:vertAlign w:val="subscript"/>
                <w:lang w:val="fr-FR"/>
              </w:rPr>
              <w:t>2</w:t>
            </w:r>
            <w:r>
              <w:rPr>
                <w:lang w:val="fr-FR"/>
              </w:rPr>
              <w:t xml:space="preserve"> de HFC</w:t>
            </w:r>
            <w:r>
              <w:rPr>
                <w:lang w:val="fr-FR"/>
              </w:rPr>
              <w:br/>
              <w:t>dans les DOM COM</w:t>
            </w:r>
            <w:r w:rsidR="000859CF">
              <w:rPr>
                <w:lang w:val="fr-FR"/>
              </w:rPr>
              <w:t xml:space="preserve"> en 2010</w:t>
            </w:r>
          </w:p>
        </w:tc>
      </w:tr>
    </w:tbl>
    <w:p w:rsidR="005A0DAA" w:rsidRDefault="005A0DAA" w:rsidP="005A0DAA">
      <w:pPr>
        <w:rPr>
          <w:lang w:val="fr-FR"/>
        </w:rPr>
      </w:pPr>
      <w:bookmarkStart w:id="30" w:name="_Toc310855651"/>
    </w:p>
    <w:p w:rsidR="005A0DAA" w:rsidRDefault="005A0DAA" w:rsidP="005A0DAA">
      <w:pPr>
        <w:rPr>
          <w:spacing w:val="15"/>
          <w:sz w:val="22"/>
          <w:szCs w:val="22"/>
          <w:lang w:val="fr-FR"/>
        </w:rPr>
      </w:pPr>
      <w:r>
        <w:rPr>
          <w:lang w:val="fr-FR"/>
        </w:rPr>
        <w:br w:type="page"/>
      </w:r>
    </w:p>
    <w:p w:rsidR="00ED7423" w:rsidRPr="00C8316D" w:rsidRDefault="00A43444" w:rsidP="007D369C">
      <w:pPr>
        <w:pStyle w:val="Titre2"/>
        <w:rPr>
          <w:lang w:val="fr-FR"/>
        </w:rPr>
      </w:pPr>
      <w:r>
        <w:rPr>
          <w:lang w:val="fr-FR"/>
        </w:rPr>
        <w:lastRenderedPageBreak/>
        <w:t xml:space="preserve">5.3 </w:t>
      </w:r>
      <w:r w:rsidR="007D369C" w:rsidRPr="00C8316D">
        <w:rPr>
          <w:lang w:val="fr-FR"/>
        </w:rPr>
        <w:t>Cohérence avec les marchés déclarés (données confidentielles)</w:t>
      </w:r>
      <w:bookmarkEnd w:id="30"/>
    </w:p>
    <w:p w:rsidR="007D369C" w:rsidRPr="00C8316D" w:rsidRDefault="0037173D" w:rsidP="007D369C">
      <w:pPr>
        <w:rPr>
          <w:lang w:val="fr-FR"/>
        </w:rPr>
      </w:pPr>
      <w:r>
        <w:rPr>
          <w:lang w:val="fr-FR"/>
        </w:rPr>
        <w:t>Selon les distributeurs de fluides frigorigènes</w:t>
      </w:r>
      <w:r w:rsidR="00141DFB">
        <w:rPr>
          <w:lang w:val="fr-FR"/>
        </w:rPr>
        <w:t xml:space="preserve"> </w:t>
      </w:r>
      <w:r>
        <w:rPr>
          <w:lang w:val="fr-FR"/>
        </w:rPr>
        <w:t>[DIS11]</w:t>
      </w:r>
      <w:r w:rsidR="009B131D" w:rsidRPr="00C8316D">
        <w:rPr>
          <w:lang w:val="fr-FR"/>
        </w:rPr>
        <w:t xml:space="preserve">, les marchés 2010 de fluides sont </w:t>
      </w:r>
      <w:r w:rsidR="005B43BB">
        <w:rPr>
          <w:lang w:val="fr-FR"/>
        </w:rPr>
        <w:t xml:space="preserve">globalement </w:t>
      </w:r>
      <w:r w:rsidR="009B131D" w:rsidRPr="00C8316D">
        <w:rPr>
          <w:lang w:val="fr-FR"/>
        </w:rPr>
        <w:t>estimés, pour les DOM à</w:t>
      </w:r>
      <w:r w:rsidR="005B43BB">
        <w:rPr>
          <w:lang w:val="fr-FR"/>
        </w:rPr>
        <w:t xml:space="preserve"> 325 tonnes telles que</w:t>
      </w:r>
      <w:r w:rsidR="009B131D" w:rsidRPr="00C8316D">
        <w:rPr>
          <w:lang w:val="fr-FR"/>
        </w:rPr>
        <w:t> :</w:t>
      </w:r>
    </w:p>
    <w:p w:rsidR="009B131D" w:rsidRPr="00C8316D" w:rsidRDefault="009B131D" w:rsidP="009B131D">
      <w:pPr>
        <w:pStyle w:val="Paragraphedeliste"/>
        <w:numPr>
          <w:ilvl w:val="0"/>
          <w:numId w:val="5"/>
        </w:numPr>
        <w:rPr>
          <w:lang w:val="fr-FR"/>
        </w:rPr>
      </w:pPr>
      <w:r w:rsidRPr="00C8316D">
        <w:rPr>
          <w:lang w:val="fr-FR"/>
        </w:rPr>
        <w:t>30 t pour la Réunion</w:t>
      </w:r>
    </w:p>
    <w:p w:rsidR="009B131D" w:rsidRPr="00C8316D" w:rsidRDefault="009B131D" w:rsidP="009B131D">
      <w:pPr>
        <w:pStyle w:val="Paragraphedeliste"/>
        <w:numPr>
          <w:ilvl w:val="0"/>
          <w:numId w:val="5"/>
        </w:numPr>
        <w:rPr>
          <w:lang w:val="fr-FR"/>
        </w:rPr>
      </w:pPr>
      <w:r w:rsidRPr="00C8316D">
        <w:rPr>
          <w:lang w:val="fr-FR"/>
        </w:rPr>
        <w:t>150 t pour la Guadeloupe</w:t>
      </w:r>
    </w:p>
    <w:p w:rsidR="009B131D" w:rsidRPr="00C8316D" w:rsidRDefault="009B131D" w:rsidP="009B131D">
      <w:pPr>
        <w:pStyle w:val="Paragraphedeliste"/>
        <w:numPr>
          <w:ilvl w:val="0"/>
          <w:numId w:val="5"/>
        </w:numPr>
        <w:rPr>
          <w:lang w:val="fr-FR"/>
        </w:rPr>
      </w:pPr>
      <w:r w:rsidRPr="00C8316D">
        <w:rPr>
          <w:lang w:val="fr-FR"/>
        </w:rPr>
        <w:t>100 t pour la Martinique</w:t>
      </w:r>
    </w:p>
    <w:p w:rsidR="009B131D" w:rsidRPr="00C8316D" w:rsidRDefault="009B131D" w:rsidP="009B131D">
      <w:pPr>
        <w:pStyle w:val="Paragraphedeliste"/>
        <w:numPr>
          <w:ilvl w:val="0"/>
          <w:numId w:val="5"/>
        </w:numPr>
        <w:rPr>
          <w:lang w:val="fr-FR"/>
        </w:rPr>
      </w:pPr>
      <w:r w:rsidRPr="00C8316D">
        <w:rPr>
          <w:lang w:val="fr-FR"/>
        </w:rPr>
        <w:t>45 t pour la Guyane</w:t>
      </w:r>
    </w:p>
    <w:p w:rsidR="005B43BB" w:rsidRDefault="005B43BB" w:rsidP="00DE7B4E">
      <w:pPr>
        <w:jc w:val="both"/>
        <w:rPr>
          <w:lang w:val="fr-FR"/>
        </w:rPr>
      </w:pPr>
      <w:r>
        <w:rPr>
          <w:lang w:val="fr-FR"/>
        </w:rPr>
        <w:t>Ces quantités sont à confirmer, les distributeurs n’ayant pas de déclaration officielle de leurs ventes aux DOM COM</w:t>
      </w:r>
      <w:r w:rsidR="00DE7B4E">
        <w:rPr>
          <w:lang w:val="fr-FR"/>
        </w:rPr>
        <w:t xml:space="preserve"> et un seul distributeur ayant donné une estimation globale du marché</w:t>
      </w:r>
      <w:r>
        <w:rPr>
          <w:lang w:val="fr-FR"/>
        </w:rPr>
        <w:t>.</w:t>
      </w:r>
      <w:r w:rsidR="0016133C">
        <w:rPr>
          <w:lang w:val="fr-FR"/>
        </w:rPr>
        <w:t xml:space="preserve"> C</w:t>
      </w:r>
      <w:r w:rsidR="00DE7B4E">
        <w:rPr>
          <w:lang w:val="fr-FR"/>
        </w:rPr>
        <w:t>ependant, c</w:t>
      </w:r>
      <w:r w:rsidR="0016133C">
        <w:rPr>
          <w:lang w:val="fr-FR"/>
        </w:rPr>
        <w:t>es quantités font apparaître des écarts avec notre estimation</w:t>
      </w:r>
      <w:r w:rsidR="00DE7B4E">
        <w:rPr>
          <w:lang w:val="fr-FR"/>
        </w:rPr>
        <w:t>, globalement inférieure, et notamment pour la Guadeloupe et la Martinique</w:t>
      </w:r>
      <w:r w:rsidR="0016133C">
        <w:rPr>
          <w:lang w:val="fr-FR"/>
        </w:rPr>
        <w:t>. La mise à jour 2011 permettra de vérifier ces données.</w:t>
      </w:r>
    </w:p>
    <w:p w:rsidR="009B131D" w:rsidRPr="00C8316D" w:rsidRDefault="00DE7B4E" w:rsidP="00DE7B4E">
      <w:pPr>
        <w:jc w:val="both"/>
        <w:rPr>
          <w:lang w:val="fr-FR"/>
        </w:rPr>
      </w:pPr>
      <w:r>
        <w:rPr>
          <w:lang w:val="fr-FR"/>
        </w:rPr>
        <w:t>Selon [DIS11], l</w:t>
      </w:r>
      <w:r w:rsidR="00141DFB">
        <w:rPr>
          <w:lang w:val="fr-FR"/>
        </w:rPr>
        <w:t>es</w:t>
      </w:r>
      <w:r w:rsidR="009B131D" w:rsidRPr="00C8316D">
        <w:rPr>
          <w:lang w:val="fr-FR"/>
        </w:rPr>
        <w:t xml:space="preserve"> quantités récupérées sont marginales</w:t>
      </w:r>
      <w:r w:rsidR="00141DFB">
        <w:rPr>
          <w:lang w:val="fr-FR"/>
        </w:rPr>
        <w:t>.</w:t>
      </w:r>
      <w:r>
        <w:rPr>
          <w:lang w:val="fr-FR"/>
        </w:rPr>
        <w:t xml:space="preserve"> Selon notre première estimation, les quantités récupérées sont évaluées à 5 t pour le groupe 1 et 1 t pour le Groupe 2, incluant le recyclage.</w:t>
      </w:r>
    </w:p>
    <w:p w:rsidR="00307A6B" w:rsidRPr="00C8316D" w:rsidRDefault="00307A6B" w:rsidP="00445298">
      <w:pPr>
        <w:rPr>
          <w:rFonts w:ascii="Arial" w:hAnsi="Arial" w:cs="Arial"/>
          <w:lang w:val="fr-FR"/>
        </w:rPr>
      </w:pPr>
    </w:p>
    <w:p w:rsidR="00EA136D" w:rsidRPr="00C8316D" w:rsidRDefault="00EA136D">
      <w:pPr>
        <w:rPr>
          <w:b/>
          <w:lang w:val="fr-FR"/>
        </w:rPr>
      </w:pPr>
      <w:r w:rsidRPr="00C8316D">
        <w:rPr>
          <w:b/>
          <w:lang w:val="fr-FR"/>
        </w:rPr>
        <w:br w:type="page"/>
      </w:r>
    </w:p>
    <w:p w:rsidR="003939B8" w:rsidRPr="00192718" w:rsidRDefault="00A43444" w:rsidP="00ED7423">
      <w:pPr>
        <w:pStyle w:val="Titre1"/>
      </w:pPr>
      <w:bookmarkStart w:id="31" w:name="_Toc310855652"/>
      <w:r w:rsidRPr="00192718">
        <w:lastRenderedPageBreak/>
        <w:t xml:space="preserve">6 - </w:t>
      </w:r>
      <w:r w:rsidR="003939B8" w:rsidRPr="00192718">
        <w:t>Références</w:t>
      </w:r>
      <w:bookmarkEnd w:id="31"/>
    </w:p>
    <w:p w:rsidR="009F3287" w:rsidRPr="00C8316D" w:rsidRDefault="00C82C3B" w:rsidP="009F3287">
      <w:pPr>
        <w:ind w:left="1410" w:hanging="1410"/>
        <w:jc w:val="both"/>
        <w:rPr>
          <w:lang w:val="fr-FR"/>
        </w:rPr>
      </w:pPr>
      <w:r w:rsidRPr="00192718">
        <w:t>[BAR11]</w:t>
      </w:r>
      <w:r w:rsidR="00203567" w:rsidRPr="00192718">
        <w:t xml:space="preserve"> </w:t>
      </w:r>
      <w:r w:rsidR="00203567" w:rsidRPr="00192718">
        <w:tab/>
      </w:r>
      <w:r w:rsidR="009F3287" w:rsidRPr="00192718">
        <w:t xml:space="preserve">Stéphanie Barrault, Sabine, Saba, Denis Clodic. </w:t>
      </w:r>
      <w:r w:rsidR="009F3287" w:rsidRPr="00C8316D">
        <w:rPr>
          <w:lang w:val="fr-FR"/>
        </w:rPr>
        <w:t>Inventaires des émissions des fluides frigorigènes et prévision de leurs évolutions jusqu’en 2025 – France, Années 2008 et 2009. Rapport pour l’ADEME. Avril 2011</w:t>
      </w:r>
    </w:p>
    <w:p w:rsidR="003939B8" w:rsidRPr="00795158" w:rsidRDefault="00203567" w:rsidP="003939B8">
      <w:pPr>
        <w:ind w:left="1410" w:hanging="1410"/>
        <w:jc w:val="both"/>
      </w:pPr>
      <w:r>
        <w:rPr>
          <w:lang w:val="fr-FR"/>
        </w:rPr>
        <w:t>[BIO10]</w:t>
      </w:r>
      <w:r w:rsidR="003939B8" w:rsidRPr="00C8316D">
        <w:rPr>
          <w:lang w:val="fr-FR"/>
        </w:rPr>
        <w:tab/>
        <w:t xml:space="preserve">Equipements électriques et électroniques. Rapport annuel sur la mise en œuvre de la réglementation sur les DEEE. Données 2009. Etude réalisée par BIOS pour le compte de l’ADEME. </w:t>
      </w:r>
      <w:r w:rsidR="003939B8" w:rsidRPr="00795158">
        <w:t>Octobre 2010.</w:t>
      </w:r>
    </w:p>
    <w:p w:rsidR="00F47B27" w:rsidRPr="00795158" w:rsidRDefault="00F47B27" w:rsidP="009F3287">
      <w:pPr>
        <w:spacing w:after="0" w:line="240" w:lineRule="auto"/>
        <w:ind w:left="1410" w:hanging="1410"/>
        <w:jc w:val="both"/>
        <w:rPr>
          <w:rFonts w:eastAsia="Calibri" w:cstheme="minorHAnsi"/>
        </w:rPr>
      </w:pPr>
      <w:r w:rsidRPr="00795158">
        <w:rPr>
          <w:rFonts w:eastAsia="Calibri" w:cstheme="minorHAnsi"/>
        </w:rPr>
        <w:t>[CCF11]</w:t>
      </w:r>
      <w:r w:rsidRPr="00795158">
        <w:rPr>
          <w:rFonts w:eastAsia="Calibri" w:cstheme="minorHAnsi"/>
        </w:rPr>
        <w:tab/>
        <w:t>Comité des Constructeurs Français Automobiles. www.ccfa.fr</w:t>
      </w:r>
    </w:p>
    <w:p w:rsidR="009F3287" w:rsidRDefault="009F3287" w:rsidP="009F3287">
      <w:pPr>
        <w:spacing w:after="0" w:line="240" w:lineRule="auto"/>
        <w:ind w:left="1410" w:hanging="1410"/>
        <w:jc w:val="both"/>
        <w:rPr>
          <w:rFonts w:cstheme="minorHAnsi"/>
          <w:lang w:val="fr-FR"/>
        </w:rPr>
      </w:pPr>
      <w:r w:rsidRPr="00795158">
        <w:rPr>
          <w:rFonts w:eastAsia="Calibri" w:cstheme="minorHAnsi"/>
        </w:rPr>
        <w:t>[CLO10]</w:t>
      </w:r>
      <w:r w:rsidRPr="00795158">
        <w:rPr>
          <w:rFonts w:eastAsia="Calibri" w:cstheme="minorHAnsi"/>
        </w:rPr>
        <w:tab/>
        <w:t>Clodic, D., Barrault, S., Saba S., 2010 :</w:t>
      </w:r>
      <w:r w:rsidRPr="00795158">
        <w:rPr>
          <w:rFonts w:cstheme="minorHAnsi"/>
          <w:b/>
          <w:sz w:val="28"/>
          <w:szCs w:val="28"/>
        </w:rPr>
        <w:t xml:space="preserve"> </w:t>
      </w:r>
      <w:r w:rsidRPr="00795158">
        <w:rPr>
          <w:rFonts w:cstheme="minorHAnsi"/>
        </w:rPr>
        <w:t xml:space="preserve">Global inventories of the worldwide fleets of refrigerating and air-conditioning equipment in order to determine refrigerant emissions. </w:t>
      </w:r>
      <w:r w:rsidRPr="00C8316D">
        <w:rPr>
          <w:rFonts w:cstheme="minorHAnsi"/>
          <w:lang w:val="fr-FR"/>
        </w:rPr>
        <w:t>The 1990 to 2006 update.</w:t>
      </w:r>
      <w:r w:rsidRPr="00C8316D">
        <w:rPr>
          <w:rFonts w:eastAsia="Calibri" w:cstheme="minorHAnsi"/>
          <w:lang w:val="fr-FR"/>
        </w:rPr>
        <w:t xml:space="preserve"> ADEME final report.</w:t>
      </w:r>
      <w:r w:rsidRPr="00C8316D">
        <w:rPr>
          <w:rFonts w:cstheme="minorHAnsi"/>
          <w:lang w:val="fr-FR"/>
        </w:rPr>
        <w:t xml:space="preserve"> </w:t>
      </w:r>
    </w:p>
    <w:p w:rsidR="0037173D" w:rsidRPr="00C8316D" w:rsidRDefault="0037173D" w:rsidP="0037173D">
      <w:pPr>
        <w:spacing w:after="0" w:line="240" w:lineRule="auto"/>
        <w:ind w:left="1410" w:hanging="1410"/>
        <w:jc w:val="both"/>
        <w:rPr>
          <w:rFonts w:cstheme="minorHAnsi"/>
          <w:lang w:val="fr-FR"/>
        </w:rPr>
      </w:pPr>
      <w:r>
        <w:rPr>
          <w:rFonts w:cstheme="minorHAnsi"/>
          <w:lang w:val="fr-FR"/>
        </w:rPr>
        <w:t>[DIS</w:t>
      </w:r>
      <w:r w:rsidRPr="00C8316D">
        <w:rPr>
          <w:rFonts w:cstheme="minorHAnsi"/>
          <w:lang w:val="fr-FR"/>
        </w:rPr>
        <w:t>11]</w:t>
      </w:r>
      <w:r w:rsidR="005B43BB">
        <w:rPr>
          <w:rFonts w:cstheme="minorHAnsi"/>
          <w:lang w:val="fr-FR"/>
        </w:rPr>
        <w:tab/>
        <w:t>Communication confidentielle d’un</w:t>
      </w:r>
      <w:r w:rsidRPr="00C8316D">
        <w:rPr>
          <w:rFonts w:cstheme="minorHAnsi"/>
          <w:lang w:val="fr-FR"/>
        </w:rPr>
        <w:t xml:space="preserve"> </w:t>
      </w:r>
      <w:r w:rsidR="005B43BB">
        <w:rPr>
          <w:rFonts w:cstheme="minorHAnsi"/>
          <w:lang w:val="fr-FR"/>
        </w:rPr>
        <w:t>distributeur</w:t>
      </w:r>
      <w:r>
        <w:rPr>
          <w:rFonts w:cstheme="minorHAnsi"/>
          <w:lang w:val="fr-FR"/>
        </w:rPr>
        <w:t xml:space="preserve"> de fluides frigorigènes</w:t>
      </w:r>
      <w:r w:rsidRPr="00C8316D">
        <w:rPr>
          <w:rFonts w:cstheme="minorHAnsi"/>
          <w:lang w:val="fr-FR"/>
        </w:rPr>
        <w:t>, pour le CEP, Octobre 2011.</w:t>
      </w:r>
    </w:p>
    <w:p w:rsidR="00493D09" w:rsidRPr="00795158" w:rsidRDefault="00493D09" w:rsidP="0037173D">
      <w:pPr>
        <w:spacing w:after="0" w:line="240" w:lineRule="auto"/>
        <w:ind w:left="1410" w:hanging="1410"/>
        <w:jc w:val="both"/>
        <w:rPr>
          <w:rFonts w:cstheme="minorHAnsi"/>
        </w:rPr>
      </w:pPr>
      <w:r w:rsidRPr="00795158">
        <w:rPr>
          <w:rFonts w:cstheme="minorHAnsi"/>
        </w:rPr>
        <w:t>[FAO11]</w:t>
      </w:r>
      <w:r w:rsidRPr="00795158">
        <w:rPr>
          <w:rFonts w:cstheme="minorHAnsi"/>
        </w:rPr>
        <w:tab/>
        <w:t>Food and Agriculture Organisation. www.fao.org</w:t>
      </w:r>
    </w:p>
    <w:p w:rsidR="001C10A1" w:rsidRPr="00C8316D" w:rsidRDefault="001C10A1" w:rsidP="001C10A1">
      <w:pPr>
        <w:ind w:left="1410" w:hanging="1410"/>
        <w:jc w:val="both"/>
        <w:rPr>
          <w:lang w:val="fr-FR"/>
        </w:rPr>
      </w:pPr>
      <w:r w:rsidRPr="00C8316D">
        <w:rPr>
          <w:lang w:val="fr-FR"/>
        </w:rPr>
        <w:t>[JUS11]</w:t>
      </w:r>
      <w:r w:rsidRPr="00C8316D">
        <w:rPr>
          <w:lang w:val="fr-FR"/>
        </w:rPr>
        <w:tab/>
        <w:t>Communication de Samuel Just pour le CEP, Septembre 2011.</w:t>
      </w:r>
    </w:p>
    <w:p w:rsidR="00D7598B" w:rsidRPr="00D7598B" w:rsidRDefault="00D7598B" w:rsidP="00D7598B">
      <w:pPr>
        <w:pStyle w:val="steph-normal"/>
        <w:ind w:left="1418" w:hanging="1418"/>
        <w:rPr>
          <w:rFonts w:asciiTheme="minorHAnsi" w:hAnsiTheme="minorHAnsi" w:cstheme="minorHAnsi"/>
          <w:sz w:val="20"/>
          <w:szCs w:val="20"/>
        </w:rPr>
      </w:pPr>
      <w:r w:rsidRPr="00D7598B">
        <w:rPr>
          <w:rFonts w:asciiTheme="minorHAnsi" w:hAnsiTheme="minorHAnsi" w:cstheme="minorHAnsi"/>
          <w:sz w:val="20"/>
          <w:szCs w:val="20"/>
        </w:rPr>
        <w:t>[LSA</w:t>
      </w:r>
      <w:r w:rsidR="001774EC">
        <w:rPr>
          <w:rFonts w:asciiTheme="minorHAnsi" w:hAnsiTheme="minorHAnsi" w:cstheme="minorHAnsi"/>
          <w:sz w:val="20"/>
          <w:szCs w:val="20"/>
        </w:rPr>
        <w:t>10</w:t>
      </w:r>
      <w:r w:rsidRPr="00D7598B">
        <w:rPr>
          <w:rFonts w:asciiTheme="minorHAnsi" w:hAnsiTheme="minorHAnsi" w:cstheme="minorHAnsi"/>
          <w:sz w:val="20"/>
          <w:szCs w:val="20"/>
        </w:rPr>
        <w:t>]</w:t>
      </w:r>
      <w:r w:rsidRPr="00D7598B">
        <w:rPr>
          <w:rFonts w:asciiTheme="minorHAnsi" w:hAnsiTheme="minorHAnsi" w:cstheme="minorHAnsi"/>
          <w:sz w:val="20"/>
          <w:szCs w:val="20"/>
        </w:rPr>
        <w:tab/>
        <w:t>L’Atlas de la distributio</w:t>
      </w:r>
      <w:r w:rsidR="001774EC">
        <w:rPr>
          <w:rFonts w:asciiTheme="minorHAnsi" w:hAnsiTheme="minorHAnsi" w:cstheme="minorHAnsi"/>
          <w:sz w:val="20"/>
          <w:szCs w:val="20"/>
        </w:rPr>
        <w:t>n Alimentaire, LSA, Edition 2011</w:t>
      </w:r>
      <w:r w:rsidRPr="00D7598B">
        <w:rPr>
          <w:rFonts w:asciiTheme="minorHAnsi" w:hAnsiTheme="minorHAnsi" w:cstheme="minorHAnsi"/>
          <w:sz w:val="20"/>
          <w:szCs w:val="20"/>
        </w:rPr>
        <w:t>, Novembre 20</w:t>
      </w:r>
      <w:r w:rsidR="001774EC">
        <w:rPr>
          <w:rFonts w:asciiTheme="minorHAnsi" w:hAnsiTheme="minorHAnsi" w:cstheme="minorHAnsi"/>
          <w:sz w:val="20"/>
          <w:szCs w:val="20"/>
        </w:rPr>
        <w:t>10</w:t>
      </w:r>
      <w:r w:rsidRPr="00D7598B">
        <w:rPr>
          <w:rFonts w:asciiTheme="minorHAnsi" w:hAnsiTheme="minorHAnsi" w:cstheme="minorHAnsi"/>
          <w:sz w:val="20"/>
          <w:szCs w:val="20"/>
        </w:rPr>
        <w:t>.</w:t>
      </w:r>
    </w:p>
    <w:p w:rsidR="00D7598B" w:rsidRDefault="00D7598B" w:rsidP="00D7598B">
      <w:pPr>
        <w:ind w:left="1410" w:hanging="1410"/>
        <w:jc w:val="both"/>
        <w:rPr>
          <w:lang w:val="fr-FR"/>
        </w:rPr>
      </w:pPr>
      <w:r>
        <w:rPr>
          <w:lang w:val="fr-FR"/>
        </w:rPr>
        <w:t>[LSA11]</w:t>
      </w:r>
      <w:r>
        <w:rPr>
          <w:lang w:val="fr-FR"/>
        </w:rPr>
        <w:tab/>
        <w:t>Parcs de magasins en France métropole et dans les DOM COM de 2008 à 2011. Communication LSA pour le CEP, Septembre 2011.</w:t>
      </w:r>
    </w:p>
    <w:p w:rsidR="00813ECE" w:rsidRPr="00C8316D" w:rsidRDefault="00813ECE" w:rsidP="00813ECE">
      <w:pPr>
        <w:ind w:left="1410" w:hanging="1410"/>
        <w:jc w:val="both"/>
        <w:rPr>
          <w:lang w:val="fr-FR"/>
        </w:rPr>
      </w:pPr>
      <w:r>
        <w:rPr>
          <w:lang w:val="fr-FR"/>
        </w:rPr>
        <w:t xml:space="preserve">[MON11] </w:t>
      </w:r>
      <w:r>
        <w:rPr>
          <w:lang w:val="fr-FR"/>
        </w:rPr>
        <w:tab/>
      </w:r>
      <w:hyperlink r:id="rId26" w:history="1">
        <w:r w:rsidRPr="00C8316D">
          <w:rPr>
            <w:rStyle w:val="Lienhypertexte"/>
            <w:lang w:val="fr-FR"/>
          </w:rPr>
          <w:t>http://www.mont-dore.nc/index.php?option=com_content&amp;view=article&amp;id=356&amp;Itemid=1010</w:t>
        </w:r>
      </w:hyperlink>
    </w:p>
    <w:p w:rsidR="00484937" w:rsidRPr="00C8316D" w:rsidRDefault="00484937" w:rsidP="001C10A1">
      <w:pPr>
        <w:ind w:left="1410" w:hanging="1410"/>
        <w:jc w:val="both"/>
        <w:rPr>
          <w:lang w:val="fr-FR"/>
        </w:rPr>
      </w:pPr>
      <w:r w:rsidRPr="00C8316D">
        <w:rPr>
          <w:lang w:val="fr-FR"/>
        </w:rPr>
        <w:t>[ONP06]</w:t>
      </w:r>
      <w:r w:rsidRPr="00C8316D">
        <w:rPr>
          <w:lang w:val="fr-FR"/>
        </w:rPr>
        <w:tab/>
        <w:t>« Une approche de la pauvret</w:t>
      </w:r>
      <w:r w:rsidR="00203567">
        <w:rPr>
          <w:lang w:val="fr-FR"/>
        </w:rPr>
        <w:t>é dans les Départements d’Outre-</w:t>
      </w:r>
      <w:r w:rsidRPr="00C8316D">
        <w:rPr>
          <w:lang w:val="fr-FR"/>
        </w:rPr>
        <w:t>Mer », Ministère de l’emploi, de la cohésion sociale et du logement, Ministère de la santé et des solidarités, Préfecture de Guadeloupe, Guyane et Martinique. Février 2006.</w:t>
      </w:r>
    </w:p>
    <w:p w:rsidR="0090308A" w:rsidRDefault="0090308A" w:rsidP="001C10A1">
      <w:pPr>
        <w:ind w:left="1410" w:hanging="1410"/>
        <w:jc w:val="both"/>
        <w:rPr>
          <w:lang w:val="fr-FR"/>
        </w:rPr>
      </w:pPr>
      <w:r w:rsidRPr="00C8316D">
        <w:rPr>
          <w:lang w:val="fr-FR"/>
        </w:rPr>
        <w:t>[PAS11]</w:t>
      </w:r>
      <w:r w:rsidRPr="00C8316D">
        <w:rPr>
          <w:lang w:val="fr-FR"/>
        </w:rPr>
        <w:tab/>
        <w:t>Communication de Gianni Pascolo, SNCF, pour le CEP, Octobre 2011.</w:t>
      </w:r>
    </w:p>
    <w:p w:rsidR="00813ECE" w:rsidRPr="00795158" w:rsidRDefault="00813ECE" w:rsidP="001C10A1">
      <w:pPr>
        <w:ind w:left="1410" w:hanging="1410"/>
        <w:jc w:val="both"/>
      </w:pPr>
      <w:r w:rsidRPr="00795158">
        <w:t xml:space="preserve">[PAT11] </w:t>
      </w:r>
      <w:r w:rsidRPr="00795158">
        <w:tab/>
      </w:r>
      <w:hyperlink r:id="rId27" w:history="1">
        <w:r w:rsidR="0087543C" w:rsidRPr="00795158">
          <w:rPr>
            <w:rStyle w:val="Lienhypertexte"/>
          </w:rPr>
          <w:t>http://www.patinoire.biz/p+patinoire-de-saint-pierre-et-miquelon+153.html</w:t>
        </w:r>
      </w:hyperlink>
    </w:p>
    <w:p w:rsidR="0087543C" w:rsidRPr="00795158" w:rsidRDefault="0087543C" w:rsidP="0087543C">
      <w:pPr>
        <w:rPr>
          <w:rFonts w:ascii="Arial" w:hAnsi="Arial" w:cs="Arial"/>
        </w:rPr>
      </w:pPr>
      <w:r w:rsidRPr="00795158">
        <w:t>[REU10]</w:t>
      </w:r>
      <w:r w:rsidRPr="00795158">
        <w:tab/>
      </w:r>
      <w:r w:rsidRPr="00795158">
        <w:tab/>
      </w:r>
      <w:hyperlink r:id="rId28" w:history="1">
        <w:r w:rsidRPr="00795158">
          <w:rPr>
            <w:rStyle w:val="Lienhypertexte"/>
            <w:rFonts w:ascii="Arial" w:hAnsi="Arial" w:cs="Arial"/>
          </w:rPr>
          <w:t>http://reunion.runweb.com/page-1476-lang-FR-2V-page,Les-horaires-des-cars-a-la-reunion.html</w:t>
        </w:r>
      </w:hyperlink>
    </w:p>
    <w:p w:rsidR="00623AAD" w:rsidRDefault="00623AAD" w:rsidP="00623AAD">
      <w:pPr>
        <w:spacing w:before="0" w:after="0"/>
        <w:ind w:left="1412" w:hanging="1412"/>
        <w:jc w:val="both"/>
        <w:rPr>
          <w:lang w:val="fr-FR"/>
        </w:rPr>
      </w:pPr>
      <w:r>
        <w:rPr>
          <w:lang w:val="fr-FR"/>
        </w:rPr>
        <w:t>[SOD11]</w:t>
      </w:r>
      <w:r>
        <w:rPr>
          <w:lang w:val="fr-FR"/>
        </w:rPr>
        <w:tab/>
        <w:t xml:space="preserve">Données Sofridam (groupe Carrefour) pour Mayotte.  </w:t>
      </w:r>
    </w:p>
    <w:p w:rsidR="00623AAD" w:rsidRDefault="00623AAD" w:rsidP="00623AAD">
      <w:pPr>
        <w:spacing w:before="0" w:after="0"/>
        <w:ind w:left="1412" w:hanging="1412"/>
        <w:jc w:val="both"/>
        <w:rPr>
          <w:lang w:val="fr-FR"/>
        </w:rPr>
      </w:pPr>
      <w:r>
        <w:rPr>
          <w:lang w:val="fr-FR"/>
        </w:rPr>
        <w:tab/>
      </w:r>
      <w:r w:rsidRPr="00623AAD">
        <w:rPr>
          <w:lang w:val="fr-FR"/>
        </w:rPr>
        <w:t>http://www.sodifram.com/groupe_sodifram/nos_enseignes/sodifram_super/sodifram_super/shopi_pamandzi.html</w:t>
      </w:r>
    </w:p>
    <w:p w:rsidR="00624475" w:rsidRDefault="00624475" w:rsidP="001C10A1">
      <w:pPr>
        <w:ind w:left="1410" w:hanging="1410"/>
        <w:jc w:val="both"/>
        <w:rPr>
          <w:lang w:val="fr-FR"/>
        </w:rPr>
      </w:pPr>
      <w:r>
        <w:rPr>
          <w:lang w:val="fr-FR"/>
        </w:rPr>
        <w:t>[TEC06]</w:t>
      </w:r>
      <w:r>
        <w:rPr>
          <w:lang w:val="fr-FR"/>
        </w:rPr>
        <w:tab/>
        <w:t>ISEE TEC Edition 2006 (10.3 Equipements des ménages).</w:t>
      </w:r>
    </w:p>
    <w:p w:rsidR="00914B61" w:rsidRDefault="00914B61" w:rsidP="00914B61">
      <w:pPr>
        <w:ind w:left="1410" w:hanging="1410"/>
        <w:jc w:val="both"/>
        <w:rPr>
          <w:lang w:val="fr-FR"/>
        </w:rPr>
      </w:pPr>
      <w:r>
        <w:rPr>
          <w:lang w:val="fr-FR"/>
        </w:rPr>
        <w:t>[TEM07]</w:t>
      </w:r>
      <w:r>
        <w:rPr>
          <w:lang w:val="fr-FR"/>
        </w:rPr>
        <w:tab/>
        <w:t>TEM 2010 INSEE Mayot</w:t>
      </w:r>
      <w:r w:rsidR="006B4E96">
        <w:rPr>
          <w:lang w:val="fr-FR"/>
        </w:rPr>
        <w:t>te. Source INSEE-recensement de</w:t>
      </w:r>
      <w:r>
        <w:rPr>
          <w:lang w:val="fr-FR"/>
        </w:rPr>
        <w:t xml:space="preserve"> la population : enquêtes budget de famille.</w:t>
      </w:r>
    </w:p>
    <w:p w:rsidR="00624475" w:rsidRDefault="00624475" w:rsidP="00914B61">
      <w:pPr>
        <w:ind w:left="1410" w:hanging="1410"/>
        <w:jc w:val="both"/>
        <w:rPr>
          <w:lang w:val="fr-FR"/>
        </w:rPr>
      </w:pPr>
      <w:r>
        <w:rPr>
          <w:lang w:val="fr-FR"/>
        </w:rPr>
        <w:t>[TER11]</w:t>
      </w:r>
      <w:r>
        <w:rPr>
          <w:lang w:val="fr-FR"/>
        </w:rPr>
        <w:tab/>
        <w:t>INSEE – Réunion TER2011 p101.</w:t>
      </w:r>
    </w:p>
    <w:p w:rsidR="00623AAD" w:rsidRDefault="00623AAD" w:rsidP="00623AAD">
      <w:pPr>
        <w:spacing w:before="0" w:after="0"/>
        <w:ind w:left="1412" w:hanging="1412"/>
        <w:jc w:val="both"/>
        <w:rPr>
          <w:lang w:val="fr-FR"/>
        </w:rPr>
      </w:pPr>
      <w:r>
        <w:rPr>
          <w:lang w:val="fr-FR"/>
        </w:rPr>
        <w:t>[WAL11]</w:t>
      </w:r>
      <w:r>
        <w:rPr>
          <w:lang w:val="fr-FR"/>
        </w:rPr>
        <w:tab/>
        <w:t>Infos pratiques du site touristique de Wallis et Futuna</w:t>
      </w:r>
    </w:p>
    <w:p w:rsidR="00623AAD" w:rsidRPr="00C8316D" w:rsidRDefault="00623AAD" w:rsidP="00623AAD">
      <w:pPr>
        <w:spacing w:before="0" w:after="0"/>
        <w:ind w:left="1412" w:hanging="2"/>
        <w:jc w:val="both"/>
        <w:rPr>
          <w:lang w:val="fr-FR"/>
        </w:rPr>
      </w:pPr>
      <w:r w:rsidRPr="00623AAD">
        <w:rPr>
          <w:lang w:val="fr-FR"/>
        </w:rPr>
        <w:t>http://www.wallisetfutuna.fr/Wallis/Informations_pratiques.html</w:t>
      </w:r>
    </w:p>
    <w:sectPr w:rsidR="00623AAD" w:rsidRPr="00C8316D" w:rsidSect="00E333C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CE" w:rsidRDefault="00437DCE" w:rsidP="00C3300B">
      <w:pPr>
        <w:spacing w:after="0" w:line="240" w:lineRule="auto"/>
      </w:pPr>
      <w:r>
        <w:separator/>
      </w:r>
    </w:p>
  </w:endnote>
  <w:endnote w:type="continuationSeparator" w:id="1">
    <w:p w:rsidR="00437DCE" w:rsidRDefault="00437DCE" w:rsidP="00C33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aphos">
    <w:altName w:val="Bookman Old Style"/>
    <w:charset w:val="00"/>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8A" w:rsidRPr="00DA3B62" w:rsidRDefault="00924F8A" w:rsidP="00DA3B62">
    <w:pPr>
      <w:pStyle w:val="Pieddepage"/>
      <w:pBdr>
        <w:top w:val="single" w:sz="4" w:space="1" w:color="365F91" w:themeColor="accent1" w:themeShade="BF"/>
      </w:pBdr>
      <w:rPr>
        <w:sz w:val="18"/>
        <w:szCs w:val="18"/>
        <w:lang w:val="fr-FR"/>
      </w:rPr>
    </w:pPr>
    <w:r w:rsidRPr="00DA3B62">
      <w:rPr>
        <w:sz w:val="18"/>
        <w:szCs w:val="18"/>
        <w:lang w:val="fr-FR"/>
      </w:rPr>
      <w:t>Inventaires DOM COM pour l’année 2010 – Rapport final</w:t>
    </w:r>
    <w:r>
      <w:rPr>
        <w:sz w:val="18"/>
        <w:szCs w:val="18"/>
        <w:lang w:val="fr-FR"/>
      </w:rPr>
      <w:tab/>
    </w:r>
    <w:r w:rsidRPr="00DA3B62">
      <w:rPr>
        <w:sz w:val="18"/>
        <w:szCs w:val="18"/>
        <w:lang w:val="fr-FR"/>
      </w:rPr>
      <w:tab/>
    </w:r>
    <w:r w:rsidR="00532BD7" w:rsidRPr="00DA3B62">
      <w:rPr>
        <w:sz w:val="18"/>
        <w:szCs w:val="18"/>
        <w:lang w:val="fr-FR"/>
      </w:rPr>
      <w:fldChar w:fldCharType="begin"/>
    </w:r>
    <w:r w:rsidRPr="00DA3B62">
      <w:rPr>
        <w:sz w:val="18"/>
        <w:szCs w:val="18"/>
        <w:lang w:val="fr-FR"/>
      </w:rPr>
      <w:instrText>PAGE   \* MERGEFORMAT</w:instrText>
    </w:r>
    <w:r w:rsidR="00532BD7" w:rsidRPr="00DA3B62">
      <w:rPr>
        <w:sz w:val="18"/>
        <w:szCs w:val="18"/>
        <w:lang w:val="fr-FR"/>
      </w:rPr>
      <w:fldChar w:fldCharType="separate"/>
    </w:r>
    <w:r w:rsidR="00732ED2">
      <w:rPr>
        <w:noProof/>
        <w:sz w:val="18"/>
        <w:szCs w:val="18"/>
        <w:lang w:val="fr-FR"/>
      </w:rPr>
      <w:t>1</w:t>
    </w:r>
    <w:r w:rsidR="00532BD7" w:rsidRPr="00DA3B62">
      <w:rPr>
        <w:sz w:val="18"/>
        <w:szCs w:val="18"/>
        <w:lang w:val="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CE" w:rsidRDefault="00437DCE" w:rsidP="00C3300B">
      <w:pPr>
        <w:spacing w:after="0" w:line="240" w:lineRule="auto"/>
      </w:pPr>
      <w:r>
        <w:separator/>
      </w:r>
    </w:p>
  </w:footnote>
  <w:footnote w:type="continuationSeparator" w:id="1">
    <w:p w:rsidR="00437DCE" w:rsidRDefault="00437DCE" w:rsidP="00C330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1DEC"/>
    <w:multiLevelType w:val="hybridMultilevel"/>
    <w:tmpl w:val="C33A0468"/>
    <w:lvl w:ilvl="0" w:tplc="F106063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3C2DDF"/>
    <w:multiLevelType w:val="multilevel"/>
    <w:tmpl w:val="DE18D45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B100A48"/>
    <w:multiLevelType w:val="hybridMultilevel"/>
    <w:tmpl w:val="561A9A4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E312F95"/>
    <w:multiLevelType w:val="multilevel"/>
    <w:tmpl w:val="56765A3E"/>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35D0516"/>
    <w:multiLevelType w:val="hybridMultilevel"/>
    <w:tmpl w:val="9B28B4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3A74B8"/>
    <w:multiLevelType w:val="hybridMultilevel"/>
    <w:tmpl w:val="31BA20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034D13"/>
    <w:multiLevelType w:val="hybridMultilevel"/>
    <w:tmpl w:val="0664A66A"/>
    <w:lvl w:ilvl="0" w:tplc="E0B2C11C">
      <w:start w:val="2"/>
      <w:numFmt w:val="bullet"/>
      <w:lvlText w:val="-"/>
      <w:lvlJc w:val="left"/>
      <w:pPr>
        <w:ind w:left="720" w:hanging="360"/>
      </w:pPr>
      <w:rPr>
        <w:rFonts w:ascii="Graphos" w:eastAsia="Times New Roman" w:hAnsi="Graph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A556BA9"/>
    <w:multiLevelType w:val="hybridMultilevel"/>
    <w:tmpl w:val="94F27B16"/>
    <w:lvl w:ilvl="0" w:tplc="504AAEF6">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ADA5257"/>
    <w:multiLevelType w:val="hybridMultilevel"/>
    <w:tmpl w:val="1F24EAEA"/>
    <w:lvl w:ilvl="0" w:tplc="E6AE31C8">
      <w:numFmt w:val="bullet"/>
      <w:lvlText w:val="-"/>
      <w:lvlJc w:val="left"/>
      <w:pPr>
        <w:ind w:left="795" w:hanging="360"/>
      </w:pPr>
      <w:rPr>
        <w:rFonts w:ascii="Calibri" w:eastAsiaTheme="minorHAnsi" w:hAnsi="Calibri" w:cs="Calibri" w:hint="default"/>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6"/>
  </w:num>
  <w:num w:numId="6">
    <w:abstractNumId w:val="2"/>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722401"/>
    <w:rsid w:val="000013F5"/>
    <w:rsid w:val="000330C8"/>
    <w:rsid w:val="00050CD5"/>
    <w:rsid w:val="00054F68"/>
    <w:rsid w:val="000570D5"/>
    <w:rsid w:val="00063714"/>
    <w:rsid w:val="00067402"/>
    <w:rsid w:val="00070043"/>
    <w:rsid w:val="0007150A"/>
    <w:rsid w:val="000859CF"/>
    <w:rsid w:val="00086C4C"/>
    <w:rsid w:val="000B494D"/>
    <w:rsid w:val="00104051"/>
    <w:rsid w:val="00132EBC"/>
    <w:rsid w:val="00140252"/>
    <w:rsid w:val="00141DFB"/>
    <w:rsid w:val="0016133C"/>
    <w:rsid w:val="001613BD"/>
    <w:rsid w:val="001774EC"/>
    <w:rsid w:val="00177E3D"/>
    <w:rsid w:val="00192718"/>
    <w:rsid w:val="001A25F1"/>
    <w:rsid w:val="001A2B76"/>
    <w:rsid w:val="001A4956"/>
    <w:rsid w:val="001A49F4"/>
    <w:rsid w:val="001B7DB1"/>
    <w:rsid w:val="001C10A1"/>
    <w:rsid w:val="001E354C"/>
    <w:rsid w:val="001E362B"/>
    <w:rsid w:val="00203567"/>
    <w:rsid w:val="00257BBC"/>
    <w:rsid w:val="00267FEB"/>
    <w:rsid w:val="00281563"/>
    <w:rsid w:val="00282BAC"/>
    <w:rsid w:val="002879F2"/>
    <w:rsid w:val="00291EF3"/>
    <w:rsid w:val="002B2B47"/>
    <w:rsid w:val="002C7E4A"/>
    <w:rsid w:val="002F2FEE"/>
    <w:rsid w:val="0030688B"/>
    <w:rsid w:val="00307A6B"/>
    <w:rsid w:val="00311EBF"/>
    <w:rsid w:val="00321AA6"/>
    <w:rsid w:val="003250FE"/>
    <w:rsid w:val="00327A01"/>
    <w:rsid w:val="003351C9"/>
    <w:rsid w:val="00366A8F"/>
    <w:rsid w:val="0037173D"/>
    <w:rsid w:val="0037641F"/>
    <w:rsid w:val="00377FAF"/>
    <w:rsid w:val="00384844"/>
    <w:rsid w:val="0038765E"/>
    <w:rsid w:val="00391047"/>
    <w:rsid w:val="003939B8"/>
    <w:rsid w:val="00393C74"/>
    <w:rsid w:val="003B79B8"/>
    <w:rsid w:val="003C405A"/>
    <w:rsid w:val="003C7669"/>
    <w:rsid w:val="00402AB4"/>
    <w:rsid w:val="00421370"/>
    <w:rsid w:val="004355B9"/>
    <w:rsid w:val="00437DCE"/>
    <w:rsid w:val="00445298"/>
    <w:rsid w:val="00451D73"/>
    <w:rsid w:val="00466D95"/>
    <w:rsid w:val="004775F5"/>
    <w:rsid w:val="00484937"/>
    <w:rsid w:val="00493D09"/>
    <w:rsid w:val="004B64EA"/>
    <w:rsid w:val="004B69C7"/>
    <w:rsid w:val="004C237B"/>
    <w:rsid w:val="004C5B75"/>
    <w:rsid w:val="004D31BD"/>
    <w:rsid w:val="004D7ADE"/>
    <w:rsid w:val="004E737B"/>
    <w:rsid w:val="004F410C"/>
    <w:rsid w:val="005037E0"/>
    <w:rsid w:val="005250B0"/>
    <w:rsid w:val="00532BD7"/>
    <w:rsid w:val="005369FE"/>
    <w:rsid w:val="00541985"/>
    <w:rsid w:val="00554E1B"/>
    <w:rsid w:val="00562C03"/>
    <w:rsid w:val="00566029"/>
    <w:rsid w:val="005741C0"/>
    <w:rsid w:val="00574F1A"/>
    <w:rsid w:val="00581072"/>
    <w:rsid w:val="005A0DAA"/>
    <w:rsid w:val="005B43BB"/>
    <w:rsid w:val="005D5075"/>
    <w:rsid w:val="00600FA8"/>
    <w:rsid w:val="00605404"/>
    <w:rsid w:val="006065A7"/>
    <w:rsid w:val="00622529"/>
    <w:rsid w:val="00623AAD"/>
    <w:rsid w:val="00624475"/>
    <w:rsid w:val="006251CE"/>
    <w:rsid w:val="006265D5"/>
    <w:rsid w:val="00631A78"/>
    <w:rsid w:val="00652362"/>
    <w:rsid w:val="006530A5"/>
    <w:rsid w:val="00655B5E"/>
    <w:rsid w:val="00665678"/>
    <w:rsid w:val="00672B4C"/>
    <w:rsid w:val="00676B41"/>
    <w:rsid w:val="00677501"/>
    <w:rsid w:val="006865D4"/>
    <w:rsid w:val="006905C3"/>
    <w:rsid w:val="00697D0D"/>
    <w:rsid w:val="006B0A6A"/>
    <w:rsid w:val="006B4E96"/>
    <w:rsid w:val="006D2696"/>
    <w:rsid w:val="006D7A8D"/>
    <w:rsid w:val="0070125A"/>
    <w:rsid w:val="00701A1B"/>
    <w:rsid w:val="00702D25"/>
    <w:rsid w:val="00703D0B"/>
    <w:rsid w:val="00707674"/>
    <w:rsid w:val="00714A22"/>
    <w:rsid w:val="007179DE"/>
    <w:rsid w:val="00722401"/>
    <w:rsid w:val="00723836"/>
    <w:rsid w:val="007255FB"/>
    <w:rsid w:val="00732ED2"/>
    <w:rsid w:val="00733899"/>
    <w:rsid w:val="00763706"/>
    <w:rsid w:val="007662B8"/>
    <w:rsid w:val="00777FC6"/>
    <w:rsid w:val="00780996"/>
    <w:rsid w:val="00793F2E"/>
    <w:rsid w:val="00795158"/>
    <w:rsid w:val="00797465"/>
    <w:rsid w:val="007A34EA"/>
    <w:rsid w:val="007B7960"/>
    <w:rsid w:val="007C3F07"/>
    <w:rsid w:val="007C5CEA"/>
    <w:rsid w:val="007D369C"/>
    <w:rsid w:val="007F35A0"/>
    <w:rsid w:val="0080277D"/>
    <w:rsid w:val="00803BFC"/>
    <w:rsid w:val="00812EAB"/>
    <w:rsid w:val="00813ECE"/>
    <w:rsid w:val="008203B6"/>
    <w:rsid w:val="00830983"/>
    <w:rsid w:val="00837F30"/>
    <w:rsid w:val="00853480"/>
    <w:rsid w:val="00862FFF"/>
    <w:rsid w:val="0087543C"/>
    <w:rsid w:val="00875975"/>
    <w:rsid w:val="008A446B"/>
    <w:rsid w:val="008B1168"/>
    <w:rsid w:val="008C0907"/>
    <w:rsid w:val="008C615E"/>
    <w:rsid w:val="008D0372"/>
    <w:rsid w:val="008D27CD"/>
    <w:rsid w:val="0090033D"/>
    <w:rsid w:val="0090308A"/>
    <w:rsid w:val="00904892"/>
    <w:rsid w:val="00906943"/>
    <w:rsid w:val="0091230C"/>
    <w:rsid w:val="00914B61"/>
    <w:rsid w:val="00922101"/>
    <w:rsid w:val="00924F8A"/>
    <w:rsid w:val="00930BFB"/>
    <w:rsid w:val="009460C7"/>
    <w:rsid w:val="00982115"/>
    <w:rsid w:val="00986443"/>
    <w:rsid w:val="0099150F"/>
    <w:rsid w:val="00997012"/>
    <w:rsid w:val="009A5C73"/>
    <w:rsid w:val="009B131D"/>
    <w:rsid w:val="009B5B37"/>
    <w:rsid w:val="009F1011"/>
    <w:rsid w:val="009F3287"/>
    <w:rsid w:val="009F38AE"/>
    <w:rsid w:val="009F50C0"/>
    <w:rsid w:val="009F747E"/>
    <w:rsid w:val="00A12837"/>
    <w:rsid w:val="00A17B8D"/>
    <w:rsid w:val="00A26270"/>
    <w:rsid w:val="00A32D4F"/>
    <w:rsid w:val="00A33E7B"/>
    <w:rsid w:val="00A43444"/>
    <w:rsid w:val="00A444D5"/>
    <w:rsid w:val="00A722B7"/>
    <w:rsid w:val="00AB3FAF"/>
    <w:rsid w:val="00AC3FD6"/>
    <w:rsid w:val="00AD06CE"/>
    <w:rsid w:val="00AE1334"/>
    <w:rsid w:val="00AF62BC"/>
    <w:rsid w:val="00B1032E"/>
    <w:rsid w:val="00B137E2"/>
    <w:rsid w:val="00B52A33"/>
    <w:rsid w:val="00B55D26"/>
    <w:rsid w:val="00B63730"/>
    <w:rsid w:val="00B94A7B"/>
    <w:rsid w:val="00BA79E7"/>
    <w:rsid w:val="00BD0CDF"/>
    <w:rsid w:val="00BF1857"/>
    <w:rsid w:val="00C143E6"/>
    <w:rsid w:val="00C15A37"/>
    <w:rsid w:val="00C2479D"/>
    <w:rsid w:val="00C318DE"/>
    <w:rsid w:val="00C3300B"/>
    <w:rsid w:val="00C47977"/>
    <w:rsid w:val="00C63197"/>
    <w:rsid w:val="00C82C3B"/>
    <w:rsid w:val="00C8316D"/>
    <w:rsid w:val="00C93593"/>
    <w:rsid w:val="00C93BAD"/>
    <w:rsid w:val="00C9663A"/>
    <w:rsid w:val="00CA255D"/>
    <w:rsid w:val="00CA327A"/>
    <w:rsid w:val="00CA7649"/>
    <w:rsid w:val="00CD4914"/>
    <w:rsid w:val="00CF433D"/>
    <w:rsid w:val="00CF549D"/>
    <w:rsid w:val="00D00AA4"/>
    <w:rsid w:val="00D05C11"/>
    <w:rsid w:val="00D14C01"/>
    <w:rsid w:val="00D301CD"/>
    <w:rsid w:val="00D371CD"/>
    <w:rsid w:val="00D56D47"/>
    <w:rsid w:val="00D57E65"/>
    <w:rsid w:val="00D60980"/>
    <w:rsid w:val="00D7598B"/>
    <w:rsid w:val="00D87C75"/>
    <w:rsid w:val="00D90516"/>
    <w:rsid w:val="00D95248"/>
    <w:rsid w:val="00DA0299"/>
    <w:rsid w:val="00DA12EE"/>
    <w:rsid w:val="00DA3B62"/>
    <w:rsid w:val="00DC0405"/>
    <w:rsid w:val="00DD4473"/>
    <w:rsid w:val="00DE7B4E"/>
    <w:rsid w:val="00DF0E64"/>
    <w:rsid w:val="00E07477"/>
    <w:rsid w:val="00E0766F"/>
    <w:rsid w:val="00E27B57"/>
    <w:rsid w:val="00E328C5"/>
    <w:rsid w:val="00E333CA"/>
    <w:rsid w:val="00E457F9"/>
    <w:rsid w:val="00E661B8"/>
    <w:rsid w:val="00E712AC"/>
    <w:rsid w:val="00E76B62"/>
    <w:rsid w:val="00E9754F"/>
    <w:rsid w:val="00E97DFC"/>
    <w:rsid w:val="00EA136D"/>
    <w:rsid w:val="00EA13D4"/>
    <w:rsid w:val="00EA2922"/>
    <w:rsid w:val="00EA7176"/>
    <w:rsid w:val="00ED5891"/>
    <w:rsid w:val="00ED7423"/>
    <w:rsid w:val="00EF4F7B"/>
    <w:rsid w:val="00F0620F"/>
    <w:rsid w:val="00F1004F"/>
    <w:rsid w:val="00F42464"/>
    <w:rsid w:val="00F47B27"/>
    <w:rsid w:val="00F54083"/>
    <w:rsid w:val="00F65328"/>
    <w:rsid w:val="00F81A2C"/>
    <w:rsid w:val="00F83583"/>
    <w:rsid w:val="00F9187E"/>
    <w:rsid w:val="00F91F18"/>
    <w:rsid w:val="00F95ED4"/>
    <w:rsid w:val="00FB10F4"/>
    <w:rsid w:val="00FB2541"/>
    <w:rsid w:val="00FB472E"/>
    <w:rsid w:val="00FB7AE9"/>
    <w:rsid w:val="00FC10F0"/>
    <w:rsid w:val="00FD1D39"/>
    <w:rsid w:val="00FE1B2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EA"/>
    <w:rPr>
      <w:sz w:val="20"/>
      <w:szCs w:val="20"/>
    </w:rPr>
  </w:style>
  <w:style w:type="paragraph" w:styleId="Titre1">
    <w:name w:val="heading 1"/>
    <w:basedOn w:val="Normal"/>
    <w:next w:val="Normal"/>
    <w:link w:val="Titre1Car"/>
    <w:uiPriority w:val="9"/>
    <w:qFormat/>
    <w:rsid w:val="007A34E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7A34E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7A34E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7A34E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7A34EA"/>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7A34EA"/>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7A34EA"/>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7A34EA"/>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7A34EA"/>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5B75"/>
    <w:rPr>
      <w:color w:val="0000FF"/>
      <w:u w:val="single"/>
    </w:rPr>
  </w:style>
  <w:style w:type="paragraph" w:styleId="Paragraphedeliste">
    <w:name w:val="List Paragraph"/>
    <w:basedOn w:val="Normal"/>
    <w:uiPriority w:val="34"/>
    <w:qFormat/>
    <w:rsid w:val="007A34EA"/>
    <w:pPr>
      <w:ind w:left="720"/>
      <w:contextualSpacing/>
    </w:pPr>
  </w:style>
  <w:style w:type="paragraph" w:styleId="Textedebulles">
    <w:name w:val="Balloon Text"/>
    <w:basedOn w:val="Normal"/>
    <w:link w:val="TextedebullesCar"/>
    <w:uiPriority w:val="99"/>
    <w:semiHidden/>
    <w:unhideWhenUsed/>
    <w:rsid w:val="00FB7A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7AE9"/>
    <w:rPr>
      <w:rFonts w:ascii="Tahoma" w:hAnsi="Tahoma" w:cs="Tahoma"/>
      <w:sz w:val="16"/>
      <w:szCs w:val="16"/>
    </w:rPr>
  </w:style>
  <w:style w:type="character" w:customStyle="1" w:styleId="Titre1Car">
    <w:name w:val="Titre 1 Car"/>
    <w:basedOn w:val="Policepardfaut"/>
    <w:link w:val="Titre1"/>
    <w:uiPriority w:val="9"/>
    <w:rsid w:val="007A34EA"/>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7A34EA"/>
    <w:rPr>
      <w:caps/>
      <w:spacing w:val="15"/>
      <w:shd w:val="clear" w:color="auto" w:fill="DBE5F1" w:themeFill="accent1" w:themeFillTint="33"/>
    </w:rPr>
  </w:style>
  <w:style w:type="paragraph" w:styleId="Notedebasdepage">
    <w:name w:val="footnote text"/>
    <w:basedOn w:val="Normal"/>
    <w:next w:val="Normal"/>
    <w:link w:val="NotedebasdepageCar"/>
    <w:rsid w:val="00C3300B"/>
    <w:pPr>
      <w:overflowPunct w:val="0"/>
      <w:autoSpaceDE w:val="0"/>
      <w:autoSpaceDN w:val="0"/>
      <w:adjustRightInd w:val="0"/>
      <w:spacing w:after="80" w:line="300" w:lineRule="atLeast"/>
      <w:ind w:left="284" w:hanging="284"/>
      <w:jc w:val="both"/>
      <w:textAlignment w:val="baseline"/>
    </w:pPr>
    <w:rPr>
      <w:rFonts w:ascii="Times New Roman" w:eastAsia="Times New Roman" w:hAnsi="Times New Roman" w:cs="Times New Roman"/>
    </w:rPr>
  </w:style>
  <w:style w:type="character" w:customStyle="1" w:styleId="NotedebasdepageCar">
    <w:name w:val="Note de bas de page Car"/>
    <w:basedOn w:val="Policepardfaut"/>
    <w:link w:val="Notedebasdepage"/>
    <w:rsid w:val="00C3300B"/>
    <w:rPr>
      <w:rFonts w:ascii="Times New Roman" w:eastAsia="Times New Roman" w:hAnsi="Times New Roman" w:cs="Times New Roman"/>
      <w:szCs w:val="20"/>
    </w:rPr>
  </w:style>
  <w:style w:type="character" w:styleId="Appelnotedebasdep">
    <w:name w:val="footnote reference"/>
    <w:basedOn w:val="Policepardfaut"/>
    <w:rsid w:val="00C3300B"/>
    <w:rPr>
      <w:vertAlign w:val="superscript"/>
    </w:rPr>
  </w:style>
  <w:style w:type="paragraph" w:styleId="Sous-titre">
    <w:name w:val="Subtitle"/>
    <w:basedOn w:val="Normal"/>
    <w:next w:val="Normal"/>
    <w:link w:val="Sous-titreCar"/>
    <w:uiPriority w:val="11"/>
    <w:qFormat/>
    <w:rsid w:val="007A34EA"/>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7A34EA"/>
    <w:rPr>
      <w:caps/>
      <w:color w:val="595959" w:themeColor="text1" w:themeTint="A6"/>
      <w:spacing w:val="10"/>
      <w:sz w:val="24"/>
      <w:szCs w:val="24"/>
    </w:rPr>
  </w:style>
  <w:style w:type="character" w:customStyle="1" w:styleId="Titre3Car">
    <w:name w:val="Titre 3 Car"/>
    <w:basedOn w:val="Policepardfaut"/>
    <w:link w:val="Titre3"/>
    <w:uiPriority w:val="9"/>
    <w:rsid w:val="007A34EA"/>
    <w:rPr>
      <w:caps/>
      <w:color w:val="243F60" w:themeColor="accent1" w:themeShade="7F"/>
      <w:spacing w:val="15"/>
    </w:rPr>
  </w:style>
  <w:style w:type="table" w:styleId="Grilledutableau">
    <w:name w:val="Table Grid"/>
    <w:basedOn w:val="TableauNormal"/>
    <w:uiPriority w:val="59"/>
    <w:rsid w:val="007A34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4Car">
    <w:name w:val="Titre 4 Car"/>
    <w:basedOn w:val="Policepardfaut"/>
    <w:link w:val="Titre4"/>
    <w:uiPriority w:val="9"/>
    <w:semiHidden/>
    <w:rsid w:val="007A34EA"/>
    <w:rPr>
      <w:caps/>
      <w:color w:val="365F91" w:themeColor="accent1" w:themeShade="BF"/>
      <w:spacing w:val="10"/>
    </w:rPr>
  </w:style>
  <w:style w:type="character" w:customStyle="1" w:styleId="Titre5Car">
    <w:name w:val="Titre 5 Car"/>
    <w:basedOn w:val="Policepardfaut"/>
    <w:link w:val="Titre5"/>
    <w:uiPriority w:val="9"/>
    <w:semiHidden/>
    <w:rsid w:val="007A34EA"/>
    <w:rPr>
      <w:caps/>
      <w:color w:val="365F91" w:themeColor="accent1" w:themeShade="BF"/>
      <w:spacing w:val="10"/>
    </w:rPr>
  </w:style>
  <w:style w:type="character" w:customStyle="1" w:styleId="Titre6Car">
    <w:name w:val="Titre 6 Car"/>
    <w:basedOn w:val="Policepardfaut"/>
    <w:link w:val="Titre6"/>
    <w:uiPriority w:val="9"/>
    <w:semiHidden/>
    <w:rsid w:val="007A34EA"/>
    <w:rPr>
      <w:caps/>
      <w:color w:val="365F91" w:themeColor="accent1" w:themeShade="BF"/>
      <w:spacing w:val="10"/>
    </w:rPr>
  </w:style>
  <w:style w:type="character" w:customStyle="1" w:styleId="Titre7Car">
    <w:name w:val="Titre 7 Car"/>
    <w:basedOn w:val="Policepardfaut"/>
    <w:link w:val="Titre7"/>
    <w:uiPriority w:val="9"/>
    <w:semiHidden/>
    <w:rsid w:val="007A34EA"/>
    <w:rPr>
      <w:caps/>
      <w:color w:val="365F91" w:themeColor="accent1" w:themeShade="BF"/>
      <w:spacing w:val="10"/>
    </w:rPr>
  </w:style>
  <w:style w:type="character" w:customStyle="1" w:styleId="Titre8Car">
    <w:name w:val="Titre 8 Car"/>
    <w:basedOn w:val="Policepardfaut"/>
    <w:link w:val="Titre8"/>
    <w:uiPriority w:val="9"/>
    <w:semiHidden/>
    <w:rsid w:val="007A34EA"/>
    <w:rPr>
      <w:caps/>
      <w:spacing w:val="10"/>
      <w:sz w:val="18"/>
      <w:szCs w:val="18"/>
    </w:rPr>
  </w:style>
  <w:style w:type="character" w:customStyle="1" w:styleId="Titre9Car">
    <w:name w:val="Titre 9 Car"/>
    <w:basedOn w:val="Policepardfaut"/>
    <w:link w:val="Titre9"/>
    <w:uiPriority w:val="9"/>
    <w:semiHidden/>
    <w:rsid w:val="007A34EA"/>
    <w:rPr>
      <w:i/>
      <w:caps/>
      <w:spacing w:val="10"/>
      <w:sz w:val="18"/>
      <w:szCs w:val="18"/>
    </w:rPr>
  </w:style>
  <w:style w:type="paragraph" w:styleId="Lgende">
    <w:name w:val="caption"/>
    <w:basedOn w:val="Normal"/>
    <w:next w:val="Normal"/>
    <w:uiPriority w:val="35"/>
    <w:semiHidden/>
    <w:unhideWhenUsed/>
    <w:qFormat/>
    <w:rsid w:val="007A34EA"/>
    <w:rPr>
      <w:b/>
      <w:bCs/>
      <w:color w:val="365F91" w:themeColor="accent1" w:themeShade="BF"/>
      <w:sz w:val="16"/>
      <w:szCs w:val="16"/>
    </w:rPr>
  </w:style>
  <w:style w:type="paragraph" w:styleId="Titre">
    <w:name w:val="Title"/>
    <w:basedOn w:val="Normal"/>
    <w:next w:val="Normal"/>
    <w:link w:val="TitreCar"/>
    <w:uiPriority w:val="10"/>
    <w:qFormat/>
    <w:rsid w:val="007A34EA"/>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7A34EA"/>
    <w:rPr>
      <w:caps/>
      <w:color w:val="4F81BD" w:themeColor="accent1"/>
      <w:spacing w:val="10"/>
      <w:kern w:val="28"/>
      <w:sz w:val="52"/>
      <w:szCs w:val="52"/>
    </w:rPr>
  </w:style>
  <w:style w:type="character" w:styleId="lev">
    <w:name w:val="Strong"/>
    <w:uiPriority w:val="22"/>
    <w:qFormat/>
    <w:rsid w:val="007A34EA"/>
    <w:rPr>
      <w:b/>
      <w:bCs/>
    </w:rPr>
  </w:style>
  <w:style w:type="character" w:styleId="Accentuation">
    <w:name w:val="Emphasis"/>
    <w:uiPriority w:val="20"/>
    <w:qFormat/>
    <w:rsid w:val="007A34EA"/>
    <w:rPr>
      <w:caps/>
      <w:color w:val="243F60" w:themeColor="accent1" w:themeShade="7F"/>
      <w:spacing w:val="5"/>
    </w:rPr>
  </w:style>
  <w:style w:type="paragraph" w:styleId="Sansinterligne">
    <w:name w:val="No Spacing"/>
    <w:basedOn w:val="Normal"/>
    <w:link w:val="SansinterligneCar"/>
    <w:uiPriority w:val="1"/>
    <w:qFormat/>
    <w:rsid w:val="007A34EA"/>
    <w:pPr>
      <w:spacing w:before="0" w:after="0" w:line="240" w:lineRule="auto"/>
    </w:pPr>
  </w:style>
  <w:style w:type="character" w:customStyle="1" w:styleId="SansinterligneCar">
    <w:name w:val="Sans interligne Car"/>
    <w:basedOn w:val="Policepardfaut"/>
    <w:link w:val="Sansinterligne"/>
    <w:uiPriority w:val="1"/>
    <w:rsid w:val="007A34EA"/>
    <w:rPr>
      <w:sz w:val="20"/>
      <w:szCs w:val="20"/>
    </w:rPr>
  </w:style>
  <w:style w:type="paragraph" w:styleId="Citation">
    <w:name w:val="Quote"/>
    <w:basedOn w:val="Normal"/>
    <w:next w:val="Normal"/>
    <w:link w:val="CitationCar"/>
    <w:uiPriority w:val="29"/>
    <w:qFormat/>
    <w:rsid w:val="007A34EA"/>
    <w:rPr>
      <w:i/>
      <w:iCs/>
    </w:rPr>
  </w:style>
  <w:style w:type="character" w:customStyle="1" w:styleId="CitationCar">
    <w:name w:val="Citation Car"/>
    <w:basedOn w:val="Policepardfaut"/>
    <w:link w:val="Citation"/>
    <w:uiPriority w:val="29"/>
    <w:rsid w:val="007A34EA"/>
    <w:rPr>
      <w:i/>
      <w:iCs/>
      <w:sz w:val="20"/>
      <w:szCs w:val="20"/>
    </w:rPr>
  </w:style>
  <w:style w:type="paragraph" w:styleId="Citationintense">
    <w:name w:val="Intense Quote"/>
    <w:basedOn w:val="Normal"/>
    <w:next w:val="Normal"/>
    <w:link w:val="CitationintenseCar"/>
    <w:uiPriority w:val="30"/>
    <w:qFormat/>
    <w:rsid w:val="007A34E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7A34EA"/>
    <w:rPr>
      <w:i/>
      <w:iCs/>
      <w:color w:val="4F81BD" w:themeColor="accent1"/>
      <w:sz w:val="20"/>
      <w:szCs w:val="20"/>
    </w:rPr>
  </w:style>
  <w:style w:type="character" w:styleId="Emphaseple">
    <w:name w:val="Subtle Emphasis"/>
    <w:uiPriority w:val="19"/>
    <w:qFormat/>
    <w:rsid w:val="007A34EA"/>
    <w:rPr>
      <w:i/>
      <w:iCs/>
      <w:color w:val="243F60" w:themeColor="accent1" w:themeShade="7F"/>
    </w:rPr>
  </w:style>
  <w:style w:type="character" w:styleId="Emphaseintense">
    <w:name w:val="Intense Emphasis"/>
    <w:uiPriority w:val="21"/>
    <w:qFormat/>
    <w:rsid w:val="007A34EA"/>
    <w:rPr>
      <w:b/>
      <w:bCs/>
      <w:caps/>
      <w:color w:val="243F60" w:themeColor="accent1" w:themeShade="7F"/>
      <w:spacing w:val="10"/>
    </w:rPr>
  </w:style>
  <w:style w:type="character" w:styleId="Rfrenceple">
    <w:name w:val="Subtle Reference"/>
    <w:uiPriority w:val="31"/>
    <w:qFormat/>
    <w:rsid w:val="007A34EA"/>
    <w:rPr>
      <w:b/>
      <w:bCs/>
      <w:color w:val="4F81BD" w:themeColor="accent1"/>
    </w:rPr>
  </w:style>
  <w:style w:type="character" w:styleId="Rfrenceintense">
    <w:name w:val="Intense Reference"/>
    <w:uiPriority w:val="32"/>
    <w:qFormat/>
    <w:rsid w:val="007A34EA"/>
    <w:rPr>
      <w:b/>
      <w:bCs/>
      <w:i/>
      <w:iCs/>
      <w:caps/>
      <w:color w:val="4F81BD" w:themeColor="accent1"/>
    </w:rPr>
  </w:style>
  <w:style w:type="character" w:styleId="Titredulivre">
    <w:name w:val="Book Title"/>
    <w:uiPriority w:val="33"/>
    <w:qFormat/>
    <w:rsid w:val="007A34EA"/>
    <w:rPr>
      <w:b/>
      <w:bCs/>
      <w:i/>
      <w:iCs/>
      <w:spacing w:val="9"/>
    </w:rPr>
  </w:style>
  <w:style w:type="paragraph" w:styleId="En-ttedetabledesmatires">
    <w:name w:val="TOC Heading"/>
    <w:basedOn w:val="Titre1"/>
    <w:next w:val="Normal"/>
    <w:uiPriority w:val="39"/>
    <w:semiHidden/>
    <w:unhideWhenUsed/>
    <w:qFormat/>
    <w:rsid w:val="007A34EA"/>
    <w:pPr>
      <w:outlineLvl w:val="9"/>
    </w:pPr>
  </w:style>
  <w:style w:type="paragraph" w:customStyle="1" w:styleId="steph-normal">
    <w:name w:val="steph-normal"/>
    <w:basedOn w:val="Corpsdetexte"/>
    <w:uiPriority w:val="99"/>
    <w:rsid w:val="00D7598B"/>
    <w:pPr>
      <w:spacing w:before="0" w:after="0" w:line="240" w:lineRule="auto"/>
      <w:jc w:val="both"/>
    </w:pPr>
    <w:rPr>
      <w:rFonts w:ascii="Arial" w:eastAsia="Times New Roman" w:hAnsi="Arial" w:cs="Arial"/>
      <w:sz w:val="22"/>
      <w:szCs w:val="22"/>
      <w:lang w:val="fr-FR" w:eastAsia="fr-FR" w:bidi="ar-SA"/>
    </w:rPr>
  </w:style>
  <w:style w:type="paragraph" w:styleId="Corpsdetexte">
    <w:name w:val="Body Text"/>
    <w:basedOn w:val="Normal"/>
    <w:link w:val="CorpsdetexteCar"/>
    <w:uiPriority w:val="99"/>
    <w:semiHidden/>
    <w:unhideWhenUsed/>
    <w:rsid w:val="00D7598B"/>
    <w:pPr>
      <w:spacing w:after="120"/>
    </w:pPr>
  </w:style>
  <w:style w:type="character" w:customStyle="1" w:styleId="CorpsdetexteCar">
    <w:name w:val="Corps de texte Car"/>
    <w:basedOn w:val="Policepardfaut"/>
    <w:link w:val="Corpsdetexte"/>
    <w:uiPriority w:val="99"/>
    <w:semiHidden/>
    <w:rsid w:val="00D7598B"/>
    <w:rPr>
      <w:sz w:val="20"/>
      <w:szCs w:val="20"/>
    </w:rPr>
  </w:style>
  <w:style w:type="paragraph" w:styleId="En-tte">
    <w:name w:val="header"/>
    <w:basedOn w:val="Normal"/>
    <w:link w:val="En-tteCar"/>
    <w:uiPriority w:val="99"/>
    <w:unhideWhenUsed/>
    <w:rsid w:val="00DA3B62"/>
    <w:pPr>
      <w:tabs>
        <w:tab w:val="center" w:pos="4536"/>
        <w:tab w:val="right" w:pos="9072"/>
      </w:tabs>
      <w:spacing w:before="0" w:after="0" w:line="240" w:lineRule="auto"/>
    </w:pPr>
  </w:style>
  <w:style w:type="character" w:customStyle="1" w:styleId="En-tteCar">
    <w:name w:val="En-tête Car"/>
    <w:basedOn w:val="Policepardfaut"/>
    <w:link w:val="En-tte"/>
    <w:uiPriority w:val="99"/>
    <w:rsid w:val="00DA3B62"/>
    <w:rPr>
      <w:sz w:val="20"/>
      <w:szCs w:val="20"/>
    </w:rPr>
  </w:style>
  <w:style w:type="paragraph" w:styleId="Pieddepage">
    <w:name w:val="footer"/>
    <w:basedOn w:val="Normal"/>
    <w:link w:val="PieddepageCar"/>
    <w:uiPriority w:val="99"/>
    <w:unhideWhenUsed/>
    <w:rsid w:val="00DA3B62"/>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A3B62"/>
    <w:rPr>
      <w:sz w:val="20"/>
      <w:szCs w:val="20"/>
    </w:rPr>
  </w:style>
  <w:style w:type="paragraph" w:styleId="TM1">
    <w:name w:val="toc 1"/>
    <w:basedOn w:val="Normal"/>
    <w:next w:val="Normal"/>
    <w:autoRedefine/>
    <w:uiPriority w:val="39"/>
    <w:unhideWhenUsed/>
    <w:rsid w:val="008C0907"/>
    <w:pPr>
      <w:spacing w:after="100"/>
    </w:pPr>
  </w:style>
  <w:style w:type="paragraph" w:styleId="TM2">
    <w:name w:val="toc 2"/>
    <w:basedOn w:val="Normal"/>
    <w:next w:val="Normal"/>
    <w:autoRedefine/>
    <w:uiPriority w:val="39"/>
    <w:unhideWhenUsed/>
    <w:rsid w:val="008C0907"/>
    <w:pPr>
      <w:spacing w:after="100"/>
      <w:ind w:left="200"/>
    </w:pPr>
  </w:style>
  <w:style w:type="paragraph" w:styleId="TM3">
    <w:name w:val="toc 3"/>
    <w:basedOn w:val="Normal"/>
    <w:next w:val="Normal"/>
    <w:autoRedefine/>
    <w:uiPriority w:val="39"/>
    <w:unhideWhenUsed/>
    <w:rsid w:val="008C0907"/>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016498">
      <w:bodyDiv w:val="1"/>
      <w:marLeft w:val="0"/>
      <w:marRight w:val="0"/>
      <w:marTop w:val="0"/>
      <w:marBottom w:val="0"/>
      <w:divBdr>
        <w:top w:val="none" w:sz="0" w:space="0" w:color="auto"/>
        <w:left w:val="none" w:sz="0" w:space="0" w:color="auto"/>
        <w:bottom w:val="none" w:sz="0" w:space="0" w:color="auto"/>
        <w:right w:val="none" w:sz="0" w:space="0" w:color="auto"/>
      </w:divBdr>
    </w:div>
    <w:div w:id="388648650">
      <w:bodyDiv w:val="1"/>
      <w:marLeft w:val="0"/>
      <w:marRight w:val="0"/>
      <w:marTop w:val="0"/>
      <w:marBottom w:val="0"/>
      <w:divBdr>
        <w:top w:val="none" w:sz="0" w:space="0" w:color="auto"/>
        <w:left w:val="none" w:sz="0" w:space="0" w:color="auto"/>
        <w:bottom w:val="none" w:sz="0" w:space="0" w:color="auto"/>
        <w:right w:val="none" w:sz="0" w:space="0" w:color="auto"/>
      </w:divBdr>
    </w:div>
    <w:div w:id="204243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www.mont-dore.nc/index.php?option=com_content&amp;view=article&amp;id=356&amp;Itemid=1010" TargetMode="Externa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emf"/><Relationship Id="rId28" Type="http://schemas.openxmlformats.org/officeDocument/2006/relationships/hyperlink" Target="http://reunion.runweb.com/page-1476-lang-FR-2V-page,Les-horaires-des-cars-a-la-reunion.html" TargetMode="External"/><Relationship Id="rId10" Type="http://schemas.openxmlformats.org/officeDocument/2006/relationships/hyperlink" Target="http://fr.wikipedia.org/wiki/Saint-Martin_%28%C3%AEle%29" TargetMode="External"/><Relationship Id="rId19" Type="http://schemas.openxmlformats.org/officeDocument/2006/relationships/image" Target="media/image10.emf"/><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hyperlink" Target="http://www.patinoire.biz/p+patinoire-de-saint-pierre-et-miquelon+153.html"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E4C70-9E56-4C78-AE35-8E73FE21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6193</Words>
  <Characters>34067</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Titlion</Company>
  <LinksUpToDate>false</LinksUpToDate>
  <CharactersWithSpaces>40180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Barrault</dc:creator>
  <cp:lastModifiedBy>Stéphanie Barrault</cp:lastModifiedBy>
  <cp:revision>2</cp:revision>
  <cp:lastPrinted>2011-12-03T16:08:00Z</cp:lastPrinted>
  <dcterms:created xsi:type="dcterms:W3CDTF">2012-01-09T08:29:00Z</dcterms:created>
  <dcterms:modified xsi:type="dcterms:W3CDTF">2012-01-09T08:29:00Z</dcterms:modified>
</cp:coreProperties>
</file>